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38099F">
        <w:tblPrEx>
          <w:tblCellMar>
            <w:top w:w="0" w:type="dxa"/>
            <w:bottom w:w="0" w:type="dxa"/>
          </w:tblCellMar>
        </w:tblPrEx>
        <w:trPr>
          <w:tblCellSpacing w:w="60" w:type="dxa"/>
        </w:trPr>
        <w:tc>
          <w:tcPr>
            <w:tcW w:w="1200" w:type="pct"/>
            <w:shd w:val="clear" w:color="auto" w:fill="E7F0F9"/>
          </w:tcPr>
          <w:p w:rsidR="0038099F" w:rsidRDefault="0019532F">
            <w:pPr>
              <w:spacing w:after="0" w:line="240" w:lineRule="auto"/>
            </w:pPr>
            <w:bookmarkStart w:id="0" w:name="_GoBack"/>
            <w:bookmarkEnd w:id="0"/>
            <w:r>
              <w:rPr>
                <w:b/>
              </w:rPr>
              <w:t>RKP broj</w:t>
            </w:r>
          </w:p>
        </w:tc>
        <w:tc>
          <w:tcPr>
            <w:tcW w:w="0" w:type="auto"/>
            <w:shd w:val="clear" w:color="auto" w:fill="E7F0F9"/>
          </w:tcPr>
          <w:p w:rsidR="0038099F" w:rsidRDefault="0019532F">
            <w:pPr>
              <w:spacing w:after="0" w:line="240" w:lineRule="auto"/>
            </w:pPr>
            <w:r>
              <w:t>13551</w:t>
            </w:r>
          </w:p>
        </w:tc>
      </w:tr>
      <w:tr w:rsidR="0038099F">
        <w:tblPrEx>
          <w:tblCellMar>
            <w:top w:w="0" w:type="dxa"/>
            <w:bottom w:w="0" w:type="dxa"/>
          </w:tblCellMar>
        </w:tblPrEx>
        <w:trPr>
          <w:tblCellSpacing w:w="60" w:type="dxa"/>
        </w:trPr>
        <w:tc>
          <w:tcPr>
            <w:tcW w:w="1200" w:type="pct"/>
            <w:shd w:val="clear" w:color="auto" w:fill="E7F0F9"/>
          </w:tcPr>
          <w:p w:rsidR="0038099F" w:rsidRDefault="0019532F">
            <w:pPr>
              <w:spacing w:after="0" w:line="240" w:lineRule="auto"/>
            </w:pPr>
            <w:r>
              <w:rPr>
                <w:b/>
              </w:rPr>
              <w:t>Naziv obveznika</w:t>
            </w:r>
          </w:p>
        </w:tc>
        <w:tc>
          <w:tcPr>
            <w:tcW w:w="0" w:type="auto"/>
            <w:shd w:val="clear" w:color="auto" w:fill="E7F0F9"/>
          </w:tcPr>
          <w:p w:rsidR="0038099F" w:rsidRDefault="0019532F">
            <w:pPr>
              <w:spacing w:after="0" w:line="240" w:lineRule="auto"/>
            </w:pPr>
            <w:r>
              <w:t>I. O.Š. ČAKOVEC</w:t>
            </w:r>
          </w:p>
        </w:tc>
      </w:tr>
      <w:tr w:rsidR="0038099F">
        <w:tblPrEx>
          <w:tblCellMar>
            <w:top w:w="0" w:type="dxa"/>
            <w:bottom w:w="0" w:type="dxa"/>
          </w:tblCellMar>
        </w:tblPrEx>
        <w:trPr>
          <w:tblCellSpacing w:w="60" w:type="dxa"/>
        </w:trPr>
        <w:tc>
          <w:tcPr>
            <w:tcW w:w="1200" w:type="pct"/>
            <w:shd w:val="clear" w:color="auto" w:fill="E7F0F9"/>
          </w:tcPr>
          <w:p w:rsidR="0038099F" w:rsidRDefault="0019532F">
            <w:pPr>
              <w:spacing w:after="0" w:line="240" w:lineRule="auto"/>
            </w:pPr>
            <w:r>
              <w:rPr>
                <w:b/>
              </w:rPr>
              <w:t>Razina</w:t>
            </w:r>
          </w:p>
        </w:tc>
        <w:tc>
          <w:tcPr>
            <w:tcW w:w="0" w:type="auto"/>
            <w:shd w:val="clear" w:color="auto" w:fill="E7F0F9"/>
          </w:tcPr>
          <w:p w:rsidR="0038099F" w:rsidRDefault="0019532F">
            <w:pPr>
              <w:spacing w:after="0" w:line="240" w:lineRule="auto"/>
            </w:pPr>
            <w:r>
              <w:t>31</w:t>
            </w:r>
          </w:p>
        </w:tc>
      </w:tr>
    </w:tbl>
    <w:p w:rsidR="0038099F" w:rsidRDefault="0019532F">
      <w:r>
        <w:br/>
      </w:r>
    </w:p>
    <w:p w:rsidR="0038099F" w:rsidRDefault="0019532F">
      <w:pPr>
        <w:spacing w:line="240" w:lineRule="auto"/>
        <w:jc w:val="center"/>
      </w:pPr>
      <w:r>
        <w:rPr>
          <w:b/>
          <w:sz w:val="28"/>
        </w:rPr>
        <w:t>BILJEŠKE UZ FINANCIJSKE IZVJEŠTAJE</w:t>
      </w:r>
    </w:p>
    <w:p w:rsidR="0038099F" w:rsidRDefault="0019532F">
      <w:pPr>
        <w:spacing w:line="240" w:lineRule="auto"/>
        <w:jc w:val="center"/>
      </w:pPr>
      <w:r>
        <w:rPr>
          <w:b/>
          <w:sz w:val="28"/>
        </w:rPr>
        <w:t>ZA RAZDOBLJE</w:t>
      </w:r>
    </w:p>
    <w:p w:rsidR="0038099F" w:rsidRDefault="0019532F">
      <w:pPr>
        <w:spacing w:line="240" w:lineRule="auto"/>
        <w:jc w:val="center"/>
      </w:pPr>
      <w:r>
        <w:rPr>
          <w:b/>
          <w:sz w:val="28"/>
        </w:rPr>
        <w:t>I - XII 2025.</w:t>
      </w:r>
    </w:p>
    <w:p w:rsidR="0038099F" w:rsidRDefault="0038099F"/>
    <w:p w:rsidR="0038099F" w:rsidRDefault="0019532F">
      <w:pPr>
        <w:keepNext/>
        <w:spacing w:line="240" w:lineRule="auto"/>
        <w:jc w:val="center"/>
      </w:pPr>
      <w:r>
        <w:rPr>
          <w:b/>
          <w:sz w:val="28"/>
        </w:rPr>
        <w:t>Izvještaj o prihodima i rashodima, primicima i izdacima</w:t>
      </w:r>
    </w:p>
    <w:p w:rsidR="0038099F" w:rsidRDefault="0019532F">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8099F">
        <w:tblPrEx>
          <w:tblCellMar>
            <w:top w:w="0" w:type="dxa"/>
            <w:bottom w:w="0" w:type="dxa"/>
          </w:tblCellMar>
        </w:tblPrEx>
        <w:trPr>
          <w:cantSplit/>
        </w:trPr>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w:t>
            </w:r>
            <w:r>
              <w:rPr>
                <w:b/>
                <w:sz w:val="18"/>
              </w:rPr>
              <w:t xml:space="preserve"> razdoblju prethodne godine</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Indeks (%)</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19532F">
            <w:pPr>
              <w:keepNext/>
              <w:keepLines/>
              <w:spacing w:after="0" w:line="240" w:lineRule="auto"/>
            </w:pPr>
            <w:r>
              <w:rPr>
                <w:sz w:val="18"/>
              </w:rPr>
              <w:t>6</w:t>
            </w:r>
          </w:p>
        </w:tc>
        <w:tc>
          <w:tcPr>
            <w:tcW w:w="3180" w:type="dxa"/>
            <w:tcMar>
              <w:top w:w="0" w:type="dxa"/>
              <w:bottom w:w="0" w:type="dxa"/>
            </w:tcMar>
            <w:vAlign w:val="center"/>
          </w:tcPr>
          <w:p w:rsidR="0038099F" w:rsidRDefault="0019532F">
            <w:pPr>
              <w:keepNext/>
              <w:keepLines/>
              <w:spacing w:after="0" w:line="240" w:lineRule="auto"/>
            </w:pPr>
            <w:r>
              <w:rPr>
                <w:sz w:val="18"/>
              </w:rPr>
              <w:t>PRIHODI POSLOVANJA (šifre 61+62+63+64+65+66+67+68)</w:t>
            </w:r>
          </w:p>
        </w:tc>
        <w:tc>
          <w:tcPr>
            <w:tcW w:w="700" w:type="dxa"/>
            <w:tcMar>
              <w:top w:w="0" w:type="dxa"/>
              <w:bottom w:w="0" w:type="dxa"/>
            </w:tcMar>
            <w:vAlign w:val="center"/>
          </w:tcPr>
          <w:p w:rsidR="0038099F" w:rsidRDefault="0019532F">
            <w:pPr>
              <w:keepNext/>
              <w:keepLines/>
              <w:spacing w:after="0" w:line="240" w:lineRule="auto"/>
            </w:pPr>
            <w:r>
              <w:rPr>
                <w:sz w:val="18"/>
              </w:rPr>
              <w:t>6</w:t>
            </w:r>
          </w:p>
        </w:tc>
        <w:tc>
          <w:tcPr>
            <w:tcW w:w="1860" w:type="dxa"/>
            <w:tcMar>
              <w:top w:w="0" w:type="dxa"/>
              <w:bottom w:w="0" w:type="dxa"/>
            </w:tcMar>
            <w:vAlign w:val="center"/>
          </w:tcPr>
          <w:p w:rsidR="0038099F" w:rsidRDefault="0019532F">
            <w:pPr>
              <w:keepNext/>
              <w:keepLines/>
              <w:spacing w:after="0" w:line="240" w:lineRule="auto"/>
              <w:jc w:val="right"/>
            </w:pPr>
            <w:r>
              <w:rPr>
                <w:sz w:val="18"/>
              </w:rPr>
              <w:t>3.237.804,67</w:t>
            </w:r>
          </w:p>
        </w:tc>
        <w:tc>
          <w:tcPr>
            <w:tcW w:w="1860" w:type="dxa"/>
            <w:tcMar>
              <w:top w:w="0" w:type="dxa"/>
              <w:bottom w:w="0" w:type="dxa"/>
            </w:tcMar>
            <w:vAlign w:val="center"/>
          </w:tcPr>
          <w:p w:rsidR="0038099F" w:rsidRDefault="0019532F">
            <w:pPr>
              <w:keepNext/>
              <w:keepLines/>
              <w:spacing w:after="0" w:line="240" w:lineRule="auto"/>
              <w:jc w:val="right"/>
            </w:pPr>
            <w:r>
              <w:rPr>
                <w:sz w:val="18"/>
              </w:rPr>
              <w:t>3.519.392,97</w:t>
            </w:r>
          </w:p>
        </w:tc>
        <w:tc>
          <w:tcPr>
            <w:tcW w:w="700" w:type="dxa"/>
            <w:tcMar>
              <w:top w:w="0" w:type="dxa"/>
              <w:bottom w:w="0" w:type="dxa"/>
            </w:tcMar>
            <w:vAlign w:val="center"/>
          </w:tcPr>
          <w:p w:rsidR="0038099F" w:rsidRDefault="0019532F">
            <w:pPr>
              <w:keepNext/>
              <w:keepLines/>
              <w:spacing w:after="0" w:line="240" w:lineRule="auto"/>
              <w:jc w:val="right"/>
            </w:pPr>
            <w:r>
              <w:rPr>
                <w:sz w:val="18"/>
              </w:rPr>
              <w:t>108,7</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19532F">
            <w:pPr>
              <w:keepNext/>
              <w:keepLines/>
              <w:spacing w:after="0" w:line="240" w:lineRule="auto"/>
            </w:pPr>
            <w:r>
              <w:rPr>
                <w:sz w:val="18"/>
              </w:rPr>
              <w:t>3</w:t>
            </w:r>
          </w:p>
        </w:tc>
        <w:tc>
          <w:tcPr>
            <w:tcW w:w="3180" w:type="dxa"/>
            <w:tcMar>
              <w:top w:w="0" w:type="dxa"/>
              <w:bottom w:w="0" w:type="dxa"/>
            </w:tcMar>
            <w:vAlign w:val="center"/>
          </w:tcPr>
          <w:p w:rsidR="0038099F" w:rsidRDefault="0019532F">
            <w:pPr>
              <w:keepNext/>
              <w:keepLines/>
              <w:spacing w:after="0" w:line="240" w:lineRule="auto"/>
            </w:pPr>
            <w:r>
              <w:rPr>
                <w:sz w:val="18"/>
              </w:rPr>
              <w:t>RASHODI POSLOVANJA (šifre 31+32+34+35+36+37+38)</w:t>
            </w:r>
          </w:p>
        </w:tc>
        <w:tc>
          <w:tcPr>
            <w:tcW w:w="700" w:type="dxa"/>
            <w:tcMar>
              <w:top w:w="0" w:type="dxa"/>
              <w:bottom w:w="0" w:type="dxa"/>
            </w:tcMar>
            <w:vAlign w:val="center"/>
          </w:tcPr>
          <w:p w:rsidR="0038099F" w:rsidRDefault="0019532F">
            <w:pPr>
              <w:keepNext/>
              <w:keepLines/>
              <w:spacing w:after="0" w:line="240" w:lineRule="auto"/>
            </w:pPr>
            <w:r>
              <w:rPr>
                <w:sz w:val="18"/>
              </w:rPr>
              <w:t>3</w:t>
            </w:r>
          </w:p>
        </w:tc>
        <w:tc>
          <w:tcPr>
            <w:tcW w:w="1860" w:type="dxa"/>
            <w:tcMar>
              <w:top w:w="0" w:type="dxa"/>
              <w:bottom w:w="0" w:type="dxa"/>
            </w:tcMar>
            <w:vAlign w:val="center"/>
          </w:tcPr>
          <w:p w:rsidR="0038099F" w:rsidRDefault="0019532F">
            <w:pPr>
              <w:keepNext/>
              <w:keepLines/>
              <w:spacing w:after="0" w:line="240" w:lineRule="auto"/>
              <w:jc w:val="right"/>
            </w:pPr>
            <w:r>
              <w:rPr>
                <w:sz w:val="18"/>
              </w:rPr>
              <w:t>3.126.230,99</w:t>
            </w:r>
          </w:p>
        </w:tc>
        <w:tc>
          <w:tcPr>
            <w:tcW w:w="1860" w:type="dxa"/>
            <w:tcMar>
              <w:top w:w="0" w:type="dxa"/>
              <w:bottom w:w="0" w:type="dxa"/>
            </w:tcMar>
            <w:vAlign w:val="center"/>
          </w:tcPr>
          <w:p w:rsidR="0038099F" w:rsidRDefault="0019532F">
            <w:pPr>
              <w:keepNext/>
              <w:keepLines/>
              <w:spacing w:after="0" w:line="240" w:lineRule="auto"/>
              <w:jc w:val="right"/>
            </w:pPr>
            <w:r>
              <w:rPr>
                <w:sz w:val="18"/>
              </w:rPr>
              <w:t>3.708.124,68</w:t>
            </w:r>
          </w:p>
        </w:tc>
        <w:tc>
          <w:tcPr>
            <w:tcW w:w="700" w:type="dxa"/>
            <w:tcMar>
              <w:top w:w="0" w:type="dxa"/>
              <w:bottom w:w="0" w:type="dxa"/>
            </w:tcMar>
            <w:vAlign w:val="center"/>
          </w:tcPr>
          <w:p w:rsidR="0038099F" w:rsidRDefault="0019532F">
            <w:pPr>
              <w:keepNext/>
              <w:keepLines/>
              <w:spacing w:after="0" w:line="240" w:lineRule="auto"/>
              <w:jc w:val="right"/>
            </w:pPr>
            <w:r>
              <w:rPr>
                <w:sz w:val="18"/>
              </w:rPr>
              <w:t>118,6</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38099F">
            <w:pPr>
              <w:keepNext/>
              <w:keepLines/>
              <w:spacing w:after="0" w:line="240" w:lineRule="auto"/>
            </w:pPr>
          </w:p>
        </w:tc>
        <w:tc>
          <w:tcPr>
            <w:tcW w:w="3180" w:type="dxa"/>
            <w:tcMar>
              <w:top w:w="0" w:type="dxa"/>
              <w:bottom w:w="0" w:type="dxa"/>
            </w:tcMar>
            <w:vAlign w:val="center"/>
          </w:tcPr>
          <w:p w:rsidR="0038099F" w:rsidRDefault="0019532F">
            <w:pPr>
              <w:keepNext/>
              <w:keepLines/>
              <w:spacing w:after="0" w:line="240" w:lineRule="auto"/>
            </w:pPr>
            <w:r>
              <w:rPr>
                <w:b/>
                <w:sz w:val="18"/>
              </w:rPr>
              <w:t>MANJAK PRIHODA POSLOVANJA (šifre Z005-6)</w:t>
            </w:r>
          </w:p>
        </w:tc>
        <w:tc>
          <w:tcPr>
            <w:tcW w:w="700" w:type="dxa"/>
            <w:tcMar>
              <w:top w:w="0" w:type="dxa"/>
              <w:bottom w:w="0" w:type="dxa"/>
            </w:tcMar>
            <w:vAlign w:val="center"/>
          </w:tcPr>
          <w:p w:rsidR="0038099F" w:rsidRDefault="0019532F">
            <w:pPr>
              <w:keepNext/>
              <w:keepLines/>
              <w:spacing w:after="0" w:line="240" w:lineRule="auto"/>
            </w:pPr>
            <w:r>
              <w:rPr>
                <w:b/>
                <w:sz w:val="18"/>
              </w:rPr>
              <w:t>Y001</w:t>
            </w:r>
          </w:p>
        </w:tc>
        <w:tc>
          <w:tcPr>
            <w:tcW w:w="1860" w:type="dxa"/>
            <w:tcMar>
              <w:top w:w="0" w:type="dxa"/>
              <w:bottom w:w="0" w:type="dxa"/>
            </w:tcMar>
            <w:vAlign w:val="center"/>
          </w:tcPr>
          <w:p w:rsidR="0038099F" w:rsidRDefault="0019532F">
            <w:pPr>
              <w:keepNext/>
              <w:keepLines/>
              <w:spacing w:after="0" w:line="240" w:lineRule="auto"/>
              <w:jc w:val="right"/>
            </w:pPr>
            <w:r>
              <w:rPr>
                <w:b/>
                <w:sz w:val="18"/>
              </w:rPr>
              <w:t>0,00</w:t>
            </w:r>
          </w:p>
        </w:tc>
        <w:tc>
          <w:tcPr>
            <w:tcW w:w="1860" w:type="dxa"/>
            <w:tcMar>
              <w:top w:w="0" w:type="dxa"/>
              <w:bottom w:w="0" w:type="dxa"/>
            </w:tcMar>
            <w:vAlign w:val="center"/>
          </w:tcPr>
          <w:p w:rsidR="0038099F" w:rsidRDefault="0019532F">
            <w:pPr>
              <w:keepNext/>
              <w:keepLines/>
              <w:spacing w:after="0" w:line="240" w:lineRule="auto"/>
              <w:jc w:val="right"/>
            </w:pPr>
            <w:r>
              <w:rPr>
                <w:b/>
                <w:sz w:val="18"/>
              </w:rPr>
              <w:t>188.731,71</w:t>
            </w:r>
          </w:p>
        </w:tc>
        <w:tc>
          <w:tcPr>
            <w:tcW w:w="700" w:type="dxa"/>
            <w:tcMar>
              <w:top w:w="0" w:type="dxa"/>
              <w:bottom w:w="0" w:type="dxa"/>
            </w:tcMar>
            <w:vAlign w:val="center"/>
          </w:tcPr>
          <w:p w:rsidR="0038099F" w:rsidRDefault="0019532F">
            <w:pPr>
              <w:keepNext/>
              <w:keepLines/>
              <w:spacing w:after="0" w:line="240" w:lineRule="auto"/>
              <w:jc w:val="right"/>
            </w:pPr>
            <w:r>
              <w:rPr>
                <w:b/>
                <w:sz w:val="18"/>
              </w:rPr>
              <w:t>-</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19532F">
            <w:pPr>
              <w:keepNext/>
              <w:keepLines/>
              <w:spacing w:after="0" w:line="240" w:lineRule="auto"/>
            </w:pPr>
            <w:r>
              <w:rPr>
                <w:sz w:val="18"/>
              </w:rPr>
              <w:t>7</w:t>
            </w:r>
          </w:p>
        </w:tc>
        <w:tc>
          <w:tcPr>
            <w:tcW w:w="3180" w:type="dxa"/>
            <w:tcMar>
              <w:top w:w="0" w:type="dxa"/>
              <w:bottom w:w="0" w:type="dxa"/>
            </w:tcMar>
            <w:vAlign w:val="center"/>
          </w:tcPr>
          <w:p w:rsidR="0038099F" w:rsidRDefault="0019532F">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38099F" w:rsidRDefault="0019532F">
            <w:pPr>
              <w:keepNext/>
              <w:keepLines/>
              <w:spacing w:after="0" w:line="240" w:lineRule="auto"/>
            </w:pPr>
            <w:r>
              <w:rPr>
                <w:sz w:val="18"/>
              </w:rPr>
              <w:t>7</w:t>
            </w:r>
          </w:p>
        </w:tc>
        <w:tc>
          <w:tcPr>
            <w:tcW w:w="1860" w:type="dxa"/>
            <w:tcMar>
              <w:top w:w="0" w:type="dxa"/>
              <w:bottom w:w="0" w:type="dxa"/>
            </w:tcMar>
            <w:vAlign w:val="center"/>
          </w:tcPr>
          <w:p w:rsidR="0038099F" w:rsidRDefault="0019532F">
            <w:pPr>
              <w:keepNext/>
              <w:keepLines/>
              <w:spacing w:after="0" w:line="240" w:lineRule="auto"/>
              <w:jc w:val="right"/>
            </w:pPr>
            <w:r>
              <w:rPr>
                <w:sz w:val="18"/>
              </w:rPr>
              <w:t>0,00</w:t>
            </w:r>
          </w:p>
        </w:tc>
        <w:tc>
          <w:tcPr>
            <w:tcW w:w="1860" w:type="dxa"/>
            <w:tcMar>
              <w:top w:w="0" w:type="dxa"/>
              <w:bottom w:w="0" w:type="dxa"/>
            </w:tcMar>
            <w:vAlign w:val="center"/>
          </w:tcPr>
          <w:p w:rsidR="0038099F" w:rsidRDefault="0019532F">
            <w:pPr>
              <w:keepNext/>
              <w:keepLines/>
              <w:spacing w:after="0" w:line="240" w:lineRule="auto"/>
              <w:jc w:val="right"/>
            </w:pPr>
            <w:r>
              <w:rPr>
                <w:sz w:val="18"/>
              </w:rPr>
              <w:t>0,00</w:t>
            </w:r>
          </w:p>
        </w:tc>
        <w:tc>
          <w:tcPr>
            <w:tcW w:w="700" w:type="dxa"/>
            <w:tcMar>
              <w:top w:w="0" w:type="dxa"/>
              <w:bottom w:w="0" w:type="dxa"/>
            </w:tcMar>
            <w:vAlign w:val="center"/>
          </w:tcPr>
          <w:p w:rsidR="0038099F" w:rsidRDefault="0019532F">
            <w:pPr>
              <w:keepNext/>
              <w:keepLines/>
              <w:spacing w:after="0" w:line="240" w:lineRule="auto"/>
              <w:jc w:val="right"/>
            </w:pPr>
            <w:r>
              <w:rPr>
                <w:sz w:val="18"/>
              </w:rPr>
              <w:t>-</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19532F">
            <w:pPr>
              <w:keepNext/>
              <w:keepLines/>
              <w:spacing w:after="0" w:line="240" w:lineRule="auto"/>
            </w:pPr>
            <w:r>
              <w:rPr>
                <w:sz w:val="18"/>
              </w:rPr>
              <w:t>4</w:t>
            </w:r>
          </w:p>
        </w:tc>
        <w:tc>
          <w:tcPr>
            <w:tcW w:w="3180" w:type="dxa"/>
            <w:tcMar>
              <w:top w:w="0" w:type="dxa"/>
              <w:bottom w:w="0" w:type="dxa"/>
            </w:tcMar>
            <w:vAlign w:val="center"/>
          </w:tcPr>
          <w:p w:rsidR="0038099F" w:rsidRDefault="0019532F">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38099F" w:rsidRDefault="0019532F">
            <w:pPr>
              <w:keepNext/>
              <w:keepLines/>
              <w:spacing w:after="0" w:line="240" w:lineRule="auto"/>
            </w:pPr>
            <w:r>
              <w:rPr>
                <w:sz w:val="18"/>
              </w:rPr>
              <w:t>4</w:t>
            </w:r>
          </w:p>
        </w:tc>
        <w:tc>
          <w:tcPr>
            <w:tcW w:w="1860" w:type="dxa"/>
            <w:tcMar>
              <w:top w:w="0" w:type="dxa"/>
              <w:bottom w:w="0" w:type="dxa"/>
            </w:tcMar>
            <w:vAlign w:val="center"/>
          </w:tcPr>
          <w:p w:rsidR="0038099F" w:rsidRDefault="0019532F">
            <w:pPr>
              <w:keepNext/>
              <w:keepLines/>
              <w:spacing w:after="0" w:line="240" w:lineRule="auto"/>
              <w:jc w:val="right"/>
            </w:pPr>
            <w:r>
              <w:rPr>
                <w:sz w:val="18"/>
              </w:rPr>
              <w:t>63.984,02</w:t>
            </w:r>
          </w:p>
        </w:tc>
        <w:tc>
          <w:tcPr>
            <w:tcW w:w="1860" w:type="dxa"/>
            <w:tcMar>
              <w:top w:w="0" w:type="dxa"/>
              <w:bottom w:w="0" w:type="dxa"/>
            </w:tcMar>
            <w:vAlign w:val="center"/>
          </w:tcPr>
          <w:p w:rsidR="0038099F" w:rsidRDefault="0019532F">
            <w:pPr>
              <w:keepNext/>
              <w:keepLines/>
              <w:spacing w:after="0" w:line="240" w:lineRule="auto"/>
              <w:jc w:val="right"/>
            </w:pPr>
            <w:r>
              <w:rPr>
                <w:sz w:val="18"/>
              </w:rPr>
              <w:t>28.975,82</w:t>
            </w:r>
          </w:p>
        </w:tc>
        <w:tc>
          <w:tcPr>
            <w:tcW w:w="700" w:type="dxa"/>
            <w:tcMar>
              <w:top w:w="0" w:type="dxa"/>
              <w:bottom w:w="0" w:type="dxa"/>
            </w:tcMar>
            <w:vAlign w:val="center"/>
          </w:tcPr>
          <w:p w:rsidR="0038099F" w:rsidRDefault="0019532F">
            <w:pPr>
              <w:keepNext/>
              <w:keepLines/>
              <w:spacing w:after="0" w:line="240" w:lineRule="auto"/>
              <w:jc w:val="right"/>
            </w:pPr>
            <w:r>
              <w:rPr>
                <w:sz w:val="18"/>
              </w:rPr>
              <w:t>45,3</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38099F">
            <w:pPr>
              <w:keepNext/>
              <w:keepLines/>
              <w:spacing w:after="0" w:line="240" w:lineRule="auto"/>
            </w:pPr>
          </w:p>
        </w:tc>
        <w:tc>
          <w:tcPr>
            <w:tcW w:w="3180" w:type="dxa"/>
            <w:tcMar>
              <w:top w:w="0" w:type="dxa"/>
              <w:bottom w:w="0" w:type="dxa"/>
            </w:tcMar>
            <w:vAlign w:val="center"/>
          </w:tcPr>
          <w:p w:rsidR="0038099F" w:rsidRDefault="0019532F">
            <w:pPr>
              <w:keepNext/>
              <w:keepLines/>
              <w:spacing w:after="0" w:line="240" w:lineRule="auto"/>
            </w:pPr>
            <w:r>
              <w:rPr>
                <w:b/>
                <w:sz w:val="18"/>
              </w:rPr>
              <w:t xml:space="preserve">MANJAK </w:t>
            </w:r>
            <w:r>
              <w:rPr>
                <w:b/>
                <w:sz w:val="18"/>
              </w:rPr>
              <w:t>PRIHODA OD NEFINANCIJSKE IMOVINE (šifre 4-7)</w:t>
            </w:r>
          </w:p>
        </w:tc>
        <w:tc>
          <w:tcPr>
            <w:tcW w:w="700" w:type="dxa"/>
            <w:tcMar>
              <w:top w:w="0" w:type="dxa"/>
              <w:bottom w:w="0" w:type="dxa"/>
            </w:tcMar>
            <w:vAlign w:val="center"/>
          </w:tcPr>
          <w:p w:rsidR="0038099F" w:rsidRDefault="0019532F">
            <w:pPr>
              <w:keepNext/>
              <w:keepLines/>
              <w:spacing w:after="0" w:line="240" w:lineRule="auto"/>
            </w:pPr>
            <w:r>
              <w:rPr>
                <w:b/>
                <w:sz w:val="18"/>
              </w:rPr>
              <w:t>Y002</w:t>
            </w:r>
          </w:p>
        </w:tc>
        <w:tc>
          <w:tcPr>
            <w:tcW w:w="1860" w:type="dxa"/>
            <w:tcMar>
              <w:top w:w="0" w:type="dxa"/>
              <w:bottom w:w="0" w:type="dxa"/>
            </w:tcMar>
            <w:vAlign w:val="center"/>
          </w:tcPr>
          <w:p w:rsidR="0038099F" w:rsidRDefault="0019532F">
            <w:pPr>
              <w:keepNext/>
              <w:keepLines/>
              <w:spacing w:after="0" w:line="240" w:lineRule="auto"/>
              <w:jc w:val="right"/>
            </w:pPr>
            <w:r>
              <w:rPr>
                <w:b/>
                <w:sz w:val="18"/>
              </w:rPr>
              <w:t>63.984,02</w:t>
            </w:r>
          </w:p>
        </w:tc>
        <w:tc>
          <w:tcPr>
            <w:tcW w:w="1860" w:type="dxa"/>
            <w:tcMar>
              <w:top w:w="0" w:type="dxa"/>
              <w:bottom w:w="0" w:type="dxa"/>
            </w:tcMar>
            <w:vAlign w:val="center"/>
          </w:tcPr>
          <w:p w:rsidR="0038099F" w:rsidRDefault="0019532F">
            <w:pPr>
              <w:keepNext/>
              <w:keepLines/>
              <w:spacing w:after="0" w:line="240" w:lineRule="auto"/>
              <w:jc w:val="right"/>
            </w:pPr>
            <w:r>
              <w:rPr>
                <w:b/>
                <w:sz w:val="18"/>
              </w:rPr>
              <w:t>28.975,82</w:t>
            </w:r>
          </w:p>
        </w:tc>
        <w:tc>
          <w:tcPr>
            <w:tcW w:w="700" w:type="dxa"/>
            <w:tcMar>
              <w:top w:w="0" w:type="dxa"/>
              <w:bottom w:w="0" w:type="dxa"/>
            </w:tcMar>
            <w:vAlign w:val="center"/>
          </w:tcPr>
          <w:p w:rsidR="0038099F" w:rsidRDefault="0019532F">
            <w:pPr>
              <w:keepNext/>
              <w:keepLines/>
              <w:spacing w:after="0" w:line="240" w:lineRule="auto"/>
              <w:jc w:val="right"/>
            </w:pPr>
            <w:r>
              <w:rPr>
                <w:b/>
                <w:sz w:val="18"/>
              </w:rPr>
              <w:t>45,3</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19532F">
            <w:pPr>
              <w:keepNext/>
              <w:keepLines/>
              <w:spacing w:after="0" w:line="240" w:lineRule="auto"/>
            </w:pPr>
            <w:r>
              <w:rPr>
                <w:sz w:val="18"/>
              </w:rPr>
              <w:t>8</w:t>
            </w:r>
          </w:p>
        </w:tc>
        <w:tc>
          <w:tcPr>
            <w:tcW w:w="3180" w:type="dxa"/>
            <w:tcMar>
              <w:top w:w="0" w:type="dxa"/>
              <w:bottom w:w="0" w:type="dxa"/>
            </w:tcMar>
            <w:vAlign w:val="center"/>
          </w:tcPr>
          <w:p w:rsidR="0038099F" w:rsidRDefault="0019532F">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38099F" w:rsidRDefault="0019532F">
            <w:pPr>
              <w:keepNext/>
              <w:keepLines/>
              <w:spacing w:after="0" w:line="240" w:lineRule="auto"/>
            </w:pPr>
            <w:r>
              <w:rPr>
                <w:sz w:val="18"/>
              </w:rPr>
              <w:t>8</w:t>
            </w:r>
          </w:p>
        </w:tc>
        <w:tc>
          <w:tcPr>
            <w:tcW w:w="1860" w:type="dxa"/>
            <w:tcMar>
              <w:top w:w="0" w:type="dxa"/>
              <w:bottom w:w="0" w:type="dxa"/>
            </w:tcMar>
            <w:vAlign w:val="center"/>
          </w:tcPr>
          <w:p w:rsidR="0038099F" w:rsidRDefault="0019532F">
            <w:pPr>
              <w:keepNext/>
              <w:keepLines/>
              <w:spacing w:after="0" w:line="240" w:lineRule="auto"/>
              <w:jc w:val="right"/>
            </w:pPr>
            <w:r>
              <w:rPr>
                <w:sz w:val="18"/>
              </w:rPr>
              <w:t>0,00</w:t>
            </w:r>
          </w:p>
        </w:tc>
        <w:tc>
          <w:tcPr>
            <w:tcW w:w="1860" w:type="dxa"/>
            <w:tcMar>
              <w:top w:w="0" w:type="dxa"/>
              <w:bottom w:w="0" w:type="dxa"/>
            </w:tcMar>
            <w:vAlign w:val="center"/>
          </w:tcPr>
          <w:p w:rsidR="0038099F" w:rsidRDefault="0019532F">
            <w:pPr>
              <w:keepNext/>
              <w:keepLines/>
              <w:spacing w:after="0" w:line="240" w:lineRule="auto"/>
              <w:jc w:val="right"/>
            </w:pPr>
            <w:r>
              <w:rPr>
                <w:sz w:val="18"/>
              </w:rPr>
              <w:t>0,00</w:t>
            </w:r>
          </w:p>
        </w:tc>
        <w:tc>
          <w:tcPr>
            <w:tcW w:w="700" w:type="dxa"/>
            <w:tcMar>
              <w:top w:w="0" w:type="dxa"/>
              <w:bottom w:w="0" w:type="dxa"/>
            </w:tcMar>
            <w:vAlign w:val="center"/>
          </w:tcPr>
          <w:p w:rsidR="0038099F" w:rsidRDefault="0019532F">
            <w:pPr>
              <w:keepNext/>
              <w:keepLines/>
              <w:spacing w:after="0" w:line="240" w:lineRule="auto"/>
              <w:jc w:val="right"/>
            </w:pPr>
            <w:r>
              <w:rPr>
                <w:sz w:val="18"/>
              </w:rPr>
              <w:t>-</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19532F">
            <w:pPr>
              <w:keepNext/>
              <w:keepLines/>
              <w:spacing w:after="0" w:line="240" w:lineRule="auto"/>
            </w:pPr>
            <w:r>
              <w:rPr>
                <w:sz w:val="18"/>
              </w:rPr>
              <w:t>5</w:t>
            </w:r>
          </w:p>
        </w:tc>
        <w:tc>
          <w:tcPr>
            <w:tcW w:w="3180" w:type="dxa"/>
            <w:tcMar>
              <w:top w:w="0" w:type="dxa"/>
              <w:bottom w:w="0" w:type="dxa"/>
            </w:tcMar>
            <w:vAlign w:val="center"/>
          </w:tcPr>
          <w:p w:rsidR="0038099F" w:rsidRDefault="0019532F">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38099F" w:rsidRDefault="0019532F">
            <w:pPr>
              <w:keepNext/>
              <w:keepLines/>
              <w:spacing w:after="0" w:line="240" w:lineRule="auto"/>
            </w:pPr>
            <w:r>
              <w:rPr>
                <w:sz w:val="18"/>
              </w:rPr>
              <w:t>5</w:t>
            </w:r>
          </w:p>
        </w:tc>
        <w:tc>
          <w:tcPr>
            <w:tcW w:w="1860" w:type="dxa"/>
            <w:tcMar>
              <w:top w:w="0" w:type="dxa"/>
              <w:bottom w:w="0" w:type="dxa"/>
            </w:tcMar>
            <w:vAlign w:val="center"/>
          </w:tcPr>
          <w:p w:rsidR="0038099F" w:rsidRDefault="0019532F">
            <w:pPr>
              <w:keepNext/>
              <w:keepLines/>
              <w:spacing w:after="0" w:line="240" w:lineRule="auto"/>
              <w:jc w:val="right"/>
            </w:pPr>
            <w:r>
              <w:rPr>
                <w:sz w:val="18"/>
              </w:rPr>
              <w:t>0,00</w:t>
            </w:r>
          </w:p>
        </w:tc>
        <w:tc>
          <w:tcPr>
            <w:tcW w:w="1860" w:type="dxa"/>
            <w:tcMar>
              <w:top w:w="0" w:type="dxa"/>
              <w:bottom w:w="0" w:type="dxa"/>
            </w:tcMar>
            <w:vAlign w:val="center"/>
          </w:tcPr>
          <w:p w:rsidR="0038099F" w:rsidRDefault="0019532F">
            <w:pPr>
              <w:keepNext/>
              <w:keepLines/>
              <w:spacing w:after="0" w:line="240" w:lineRule="auto"/>
              <w:jc w:val="right"/>
            </w:pPr>
            <w:r>
              <w:rPr>
                <w:sz w:val="18"/>
              </w:rPr>
              <w:t>0,00</w:t>
            </w:r>
          </w:p>
        </w:tc>
        <w:tc>
          <w:tcPr>
            <w:tcW w:w="700" w:type="dxa"/>
            <w:tcMar>
              <w:top w:w="0" w:type="dxa"/>
              <w:bottom w:w="0" w:type="dxa"/>
            </w:tcMar>
            <w:vAlign w:val="center"/>
          </w:tcPr>
          <w:p w:rsidR="0038099F" w:rsidRDefault="0019532F">
            <w:pPr>
              <w:keepNext/>
              <w:keepLines/>
              <w:spacing w:after="0" w:line="240" w:lineRule="auto"/>
              <w:jc w:val="right"/>
            </w:pPr>
            <w:r>
              <w:rPr>
                <w:sz w:val="18"/>
              </w:rPr>
              <w:t>-</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38099F">
            <w:pPr>
              <w:keepNext/>
              <w:keepLines/>
              <w:spacing w:after="0" w:line="240" w:lineRule="auto"/>
            </w:pPr>
          </w:p>
        </w:tc>
        <w:tc>
          <w:tcPr>
            <w:tcW w:w="3180" w:type="dxa"/>
            <w:tcMar>
              <w:top w:w="0" w:type="dxa"/>
              <w:bottom w:w="0" w:type="dxa"/>
            </w:tcMar>
            <w:vAlign w:val="center"/>
          </w:tcPr>
          <w:p w:rsidR="0038099F" w:rsidRDefault="0019532F">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38099F" w:rsidRDefault="0019532F">
            <w:pPr>
              <w:keepNext/>
              <w:keepLines/>
              <w:spacing w:after="0" w:line="240" w:lineRule="auto"/>
            </w:pPr>
            <w:r>
              <w:rPr>
                <w:b/>
                <w:sz w:val="18"/>
              </w:rPr>
              <w:t>X003, Y003</w:t>
            </w:r>
          </w:p>
        </w:tc>
        <w:tc>
          <w:tcPr>
            <w:tcW w:w="1860" w:type="dxa"/>
            <w:tcMar>
              <w:top w:w="0" w:type="dxa"/>
              <w:bottom w:w="0" w:type="dxa"/>
            </w:tcMar>
            <w:vAlign w:val="center"/>
          </w:tcPr>
          <w:p w:rsidR="0038099F" w:rsidRDefault="0019532F">
            <w:pPr>
              <w:keepNext/>
              <w:keepLines/>
              <w:spacing w:after="0" w:line="240" w:lineRule="auto"/>
              <w:jc w:val="right"/>
            </w:pPr>
            <w:r>
              <w:rPr>
                <w:b/>
                <w:sz w:val="18"/>
              </w:rPr>
              <w:t>0,00</w:t>
            </w:r>
          </w:p>
        </w:tc>
        <w:tc>
          <w:tcPr>
            <w:tcW w:w="1860" w:type="dxa"/>
            <w:tcMar>
              <w:top w:w="0" w:type="dxa"/>
              <w:bottom w:w="0" w:type="dxa"/>
            </w:tcMar>
            <w:vAlign w:val="center"/>
          </w:tcPr>
          <w:p w:rsidR="0038099F" w:rsidRDefault="0019532F">
            <w:pPr>
              <w:keepNext/>
              <w:keepLines/>
              <w:spacing w:after="0" w:line="240" w:lineRule="auto"/>
              <w:jc w:val="right"/>
            </w:pPr>
            <w:r>
              <w:rPr>
                <w:b/>
                <w:sz w:val="18"/>
              </w:rPr>
              <w:t>0,00</w:t>
            </w:r>
          </w:p>
        </w:tc>
        <w:tc>
          <w:tcPr>
            <w:tcW w:w="700" w:type="dxa"/>
            <w:tcMar>
              <w:top w:w="0" w:type="dxa"/>
              <w:bottom w:w="0" w:type="dxa"/>
            </w:tcMar>
            <w:vAlign w:val="center"/>
          </w:tcPr>
          <w:p w:rsidR="0038099F" w:rsidRDefault="0019532F">
            <w:pPr>
              <w:keepNext/>
              <w:keepLines/>
              <w:spacing w:after="0" w:line="240" w:lineRule="auto"/>
              <w:jc w:val="right"/>
            </w:pPr>
            <w:r>
              <w:rPr>
                <w:b/>
                <w:sz w:val="18"/>
              </w:rPr>
              <w:t>-</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38099F">
            <w:pPr>
              <w:keepNext/>
              <w:keepLines/>
              <w:spacing w:after="0" w:line="240" w:lineRule="auto"/>
            </w:pPr>
          </w:p>
        </w:tc>
        <w:tc>
          <w:tcPr>
            <w:tcW w:w="3180" w:type="dxa"/>
            <w:tcMar>
              <w:top w:w="0" w:type="dxa"/>
              <w:bottom w:w="0" w:type="dxa"/>
            </w:tcMar>
            <w:vAlign w:val="center"/>
          </w:tcPr>
          <w:p w:rsidR="0038099F" w:rsidRDefault="0019532F">
            <w:pPr>
              <w:keepNext/>
              <w:keepLines/>
              <w:spacing w:after="0" w:line="240" w:lineRule="auto"/>
            </w:pPr>
            <w:r>
              <w:rPr>
                <w:b/>
                <w:sz w:val="18"/>
              </w:rPr>
              <w:t>MANJAK PRIHODA I PRIMITAKA (šifre Y345-X678)</w:t>
            </w:r>
          </w:p>
        </w:tc>
        <w:tc>
          <w:tcPr>
            <w:tcW w:w="700" w:type="dxa"/>
            <w:tcMar>
              <w:top w:w="0" w:type="dxa"/>
              <w:bottom w:w="0" w:type="dxa"/>
            </w:tcMar>
            <w:vAlign w:val="center"/>
          </w:tcPr>
          <w:p w:rsidR="0038099F" w:rsidRDefault="0019532F">
            <w:pPr>
              <w:keepNext/>
              <w:keepLines/>
              <w:spacing w:after="0" w:line="240" w:lineRule="auto"/>
            </w:pPr>
            <w:r>
              <w:rPr>
                <w:b/>
                <w:sz w:val="18"/>
              </w:rPr>
              <w:t>Y005</w:t>
            </w:r>
          </w:p>
        </w:tc>
        <w:tc>
          <w:tcPr>
            <w:tcW w:w="1860" w:type="dxa"/>
            <w:tcMar>
              <w:top w:w="0" w:type="dxa"/>
              <w:bottom w:w="0" w:type="dxa"/>
            </w:tcMar>
            <w:vAlign w:val="center"/>
          </w:tcPr>
          <w:p w:rsidR="0038099F" w:rsidRDefault="0019532F">
            <w:pPr>
              <w:keepNext/>
              <w:keepLines/>
              <w:spacing w:after="0" w:line="240" w:lineRule="auto"/>
              <w:jc w:val="right"/>
            </w:pPr>
            <w:r>
              <w:rPr>
                <w:b/>
                <w:sz w:val="18"/>
              </w:rPr>
              <w:t>0,00</w:t>
            </w:r>
          </w:p>
        </w:tc>
        <w:tc>
          <w:tcPr>
            <w:tcW w:w="1860" w:type="dxa"/>
            <w:tcMar>
              <w:top w:w="0" w:type="dxa"/>
              <w:bottom w:w="0" w:type="dxa"/>
            </w:tcMar>
            <w:vAlign w:val="center"/>
          </w:tcPr>
          <w:p w:rsidR="0038099F" w:rsidRDefault="0019532F">
            <w:pPr>
              <w:keepNext/>
              <w:keepLines/>
              <w:spacing w:after="0" w:line="240" w:lineRule="auto"/>
              <w:jc w:val="right"/>
            </w:pPr>
            <w:r>
              <w:rPr>
                <w:b/>
                <w:sz w:val="18"/>
              </w:rPr>
              <w:t>217.707,53</w:t>
            </w:r>
          </w:p>
        </w:tc>
        <w:tc>
          <w:tcPr>
            <w:tcW w:w="700" w:type="dxa"/>
            <w:tcMar>
              <w:top w:w="0" w:type="dxa"/>
              <w:bottom w:w="0" w:type="dxa"/>
            </w:tcMar>
            <w:vAlign w:val="center"/>
          </w:tcPr>
          <w:p w:rsidR="0038099F" w:rsidRDefault="0019532F">
            <w:pPr>
              <w:keepNext/>
              <w:keepLines/>
              <w:spacing w:after="0" w:line="240" w:lineRule="auto"/>
              <w:jc w:val="right"/>
            </w:pPr>
            <w:r>
              <w:rPr>
                <w:b/>
                <w:sz w:val="18"/>
              </w:rPr>
              <w:t>-</w:t>
            </w:r>
          </w:p>
        </w:tc>
      </w:tr>
    </w:tbl>
    <w:p w:rsidR="0038099F" w:rsidRDefault="0038099F">
      <w:pPr>
        <w:spacing w:after="0"/>
      </w:pPr>
    </w:p>
    <w:p w:rsidR="0038099F" w:rsidRDefault="0019532F">
      <w:r>
        <w:rPr>
          <w:b/>
        </w:rPr>
        <w:t>BILJEŠKE UZ GODIŠNJI FINANCIJSKI IZVJEŠTAJ PRORAČUNSKIH KORISNIKA DRŽAVNOG PRORAČUNAI PRORAČUNSKIH KORISNIKA PRORAČUNA ZA RAZDOBLJE OD 01.01.-31.12.2025.</w:t>
      </w:r>
    </w:p>
    <w:p w:rsidR="0038099F" w:rsidRDefault="0019532F">
      <w:r>
        <w:rPr>
          <w:b/>
        </w:rPr>
        <w:t>I. OSNOVNA ŠKOLA ČAKOVEC</w:t>
      </w:r>
    </w:p>
    <w:p w:rsidR="0038099F" w:rsidRDefault="0019532F">
      <w:r>
        <w:rPr>
          <w:b/>
        </w:rPr>
        <w:t>OIB: 15384744710</w:t>
      </w:r>
    </w:p>
    <w:p w:rsidR="0038099F" w:rsidRDefault="0019532F">
      <w:r>
        <w:rPr>
          <w:b/>
        </w:rPr>
        <w:lastRenderedPageBreak/>
        <w:t>RKP: 13551</w:t>
      </w:r>
    </w:p>
    <w:p w:rsidR="0038099F" w:rsidRDefault="0019532F">
      <w:r>
        <w:rPr>
          <w:b/>
        </w:rPr>
        <w:t>UVODNA BILJEŠKA</w:t>
      </w:r>
    </w:p>
    <w:p w:rsidR="0038099F" w:rsidRDefault="0019532F">
      <w:r>
        <w:t>U izvještaju o Prihodima i rashod</w:t>
      </w:r>
      <w:r>
        <w:t>ima, primicima i izdacima, Bilanci, Promjenama u vrijednosti i obujmu imovine i obveza, Obvezama i Izvještaju o rashodima po funkcijskoj klasifikaciji za 2025. godinu iskazani su podaci za I. osnovnu školu Čakovec.</w:t>
      </w:r>
    </w:p>
    <w:p w:rsidR="0038099F" w:rsidRDefault="0019532F">
      <w:r>
        <w:t>Sukladno Uputi za računovodstveno evident</w:t>
      </w:r>
      <w:r>
        <w:t>iranje sredstava Europske unije koja je na snazi od 01.01.2025. godine te novim pravilima evidentiranja sredstava EU provedena su knjiženja (ispravci viška prethodne godine)  za EU sredstva prethodnih godina koja su do sada bila prikazana kao višak poslova</w:t>
      </w:r>
      <w:r>
        <w:t>nja. Slijedom toga došlo je do smanjenja prihoda poslovanja iz prethodne godine u iznosu od 67.730,74 eura.</w:t>
      </w:r>
    </w:p>
    <w:p w:rsidR="0038099F" w:rsidRDefault="0019532F">
      <w:r>
        <w:t>U 2025. godini proknjižena je i plaća za mjesec prosinac za koju je nastao trošak i obveza a prihod će biti evidentiran u 2026. godini.</w:t>
      </w:r>
    </w:p>
    <w:p w:rsidR="0038099F" w:rsidRDefault="0019532F">
      <w:r>
        <w:rPr>
          <w:b/>
        </w:rPr>
        <w:t xml:space="preserve">BILJEŠKE UZ </w:t>
      </w:r>
      <w:r>
        <w:rPr>
          <w:b/>
        </w:rPr>
        <w:t>FINANCIJSKE IZVJEŠTAJE</w:t>
      </w:r>
    </w:p>
    <w:p w:rsidR="0038099F" w:rsidRDefault="0019532F">
      <w:r>
        <w:rPr>
          <w:b/>
        </w:rPr>
        <w:t>BILANCA</w:t>
      </w:r>
    </w:p>
    <w:p w:rsidR="0038099F" w:rsidRDefault="0019532F">
      <w:r>
        <w:t xml:space="preserve">Ukupna vrijednost financijske i nefinancijske imovine I. osnovne škole Čakovec iznosi 1.463.010,32 eura što je za 14% više u odnosu na 2024. godinu. Ulaganja u dugotrajnu imovinu realizirana su iz sredstava Osnivača, dijelom </w:t>
      </w:r>
      <w:r>
        <w:t>iz vlastitih sredstava i dijelom kroz sredstva projekata koji su financirani putem natječaja Grada Čakovca.</w:t>
      </w:r>
    </w:p>
    <w:p w:rsidR="0038099F" w:rsidRDefault="0019532F">
      <w:r>
        <w:t>Financijska imovina na dan 31.12.2025. iznosi 597.508,42 eura. Od toga iznos od 217.454,26 eura odnosi se na potraživanja za pomoći proračunskim kor</w:t>
      </w:r>
      <w:r>
        <w:t>isnicima iz Ministarstva za plaće i materijalna prava, iznos od 215.726,00 eura odnosi se na potraživanja temeljem prijenosa EU sredstava a iznos od 159.210,31 eura odnosi se na potraživanja za sredstva na računu koja su prebačena na račun Grada.</w:t>
      </w:r>
    </w:p>
    <w:p w:rsidR="0038099F" w:rsidRDefault="0019532F">
      <w:r>
        <w:t>Financijs</w:t>
      </w:r>
      <w:r>
        <w:t xml:space="preserve">ka sredstva na računu su krajem godine prebačena na račun Osnivača, temeljem prelaska na Riznicu i slijedom novog načina poslovanja. Škola ima otvoren </w:t>
      </w:r>
      <w:proofErr w:type="spellStart"/>
      <w:r>
        <w:t>podračun</w:t>
      </w:r>
      <w:proofErr w:type="spellEnd"/>
      <w:r>
        <w:t xml:space="preserve"> na kojoj zaprima priljeve za izdane izlazne račune (produženi boravak, najam dvorane, uplate EU </w:t>
      </w:r>
      <w:r>
        <w:t>sredstava, donacije) a svi ostali prihodi (sredstva nadležnog i nenadležnog proračuna za nesmetano funkcioniranje škole)  slijedom nove dinamike  biti će knjižene po Obavijesti Osnivača.</w:t>
      </w:r>
    </w:p>
    <w:p w:rsidR="0038099F" w:rsidRDefault="0019532F">
      <w:r>
        <w:t> </w:t>
      </w:r>
    </w:p>
    <w:p w:rsidR="0038099F" w:rsidRDefault="0019532F">
      <w:r>
        <w:rPr>
          <w:b/>
        </w:rPr>
        <w:t>IZVJEŠTAJ O PRIHODIMA I RASHODIMA</w:t>
      </w:r>
    </w:p>
    <w:p w:rsidR="0038099F" w:rsidRDefault="0019532F">
      <w:r>
        <w:rPr>
          <w:b/>
        </w:rPr>
        <w:t xml:space="preserve">Prihodi poslovanja </w:t>
      </w:r>
      <w:r>
        <w:t>u 2025. godini</w:t>
      </w:r>
      <w:r>
        <w:t xml:space="preserve"> iznose 3.519.392,97 eura što je za 8% više u odnosu na prethodnu godinu.</w:t>
      </w:r>
    </w:p>
    <w:p w:rsidR="0038099F" w:rsidRDefault="0019532F">
      <w:r>
        <w:t xml:space="preserve">Razlog povećanja odnosi se na povećanje plaća i materijalnih prava zaposlenika u 2025. godini, prihoda od </w:t>
      </w:r>
      <w:proofErr w:type="spellStart"/>
      <w:r>
        <w:t>Erasmus</w:t>
      </w:r>
      <w:proofErr w:type="spellEnd"/>
      <w:r>
        <w:t xml:space="preserve"> + projekata koji su u završnoj fazi te povećanja prihoda iz nadležnog proračuna za financiranje redovne djelatnosti proračunskih korisnika tem</w:t>
      </w:r>
      <w:r>
        <w:t>eljem potrebe zapošljavanja dodatnih pomoćnika u nastavi za učenike s teškoćama u razvoju (odrađeno rebalansom -izmjene i dopune proračuna).</w:t>
      </w:r>
    </w:p>
    <w:p w:rsidR="0038099F" w:rsidRDefault="0019532F">
      <w:r>
        <w:lastRenderedPageBreak/>
        <w:t xml:space="preserve">U I. osnovnoj školi Čakovec, sa područnim školama </w:t>
      </w:r>
      <w:proofErr w:type="spellStart"/>
      <w:r>
        <w:t>Krištanovec</w:t>
      </w:r>
      <w:proofErr w:type="spellEnd"/>
      <w:r>
        <w:t xml:space="preserve"> i Novo Selo Rok, je na dan 31.12.2025. godine bilo 11</w:t>
      </w:r>
      <w:r>
        <w:t>7 zaposlenika, od toga za 96 zaposlenika plaće se financiraju iz državnog proračuna, u produženom boravku je 5 zaposlenika čije plaće sufinancira Grad Čakovec i roditelji polaznika, 10 pomoćnika u nastavi se financira iz Europskog socijalnog fonda dok ih j</w:t>
      </w:r>
      <w:r>
        <w:t>e 6 financirano iz sredstava na teret Grada Čakovca. Ukupno škola ima 732 učenika od kojih je 95 učenika koji polaze produženi boravak.</w:t>
      </w:r>
    </w:p>
    <w:p w:rsidR="0038099F" w:rsidRDefault="0019532F">
      <w:r>
        <w:t xml:space="preserve">Nastavljeno je provođenje </w:t>
      </w:r>
      <w:proofErr w:type="spellStart"/>
      <w:r>
        <w:t>Erasmus</w:t>
      </w:r>
      <w:proofErr w:type="spellEnd"/>
      <w:r>
        <w:t xml:space="preserve"> projekata financiranih preko Agencije za mobilnost i programe EU te projekta financira</w:t>
      </w:r>
      <w:r>
        <w:t xml:space="preserve">nog direktno od strane Agencije (Obrazovni centar u </w:t>
      </w:r>
      <w:proofErr w:type="spellStart"/>
      <w:r>
        <w:t>Briselu</w:t>
      </w:r>
      <w:proofErr w:type="spellEnd"/>
      <w:r>
        <w:t xml:space="preserve"> JA Europe).</w:t>
      </w:r>
    </w:p>
    <w:p w:rsidR="0038099F" w:rsidRDefault="0019532F">
      <w:r>
        <w:rPr>
          <w:b/>
        </w:rPr>
        <w:t>Rashodi poslovanja</w:t>
      </w:r>
      <w:r>
        <w:t xml:space="preserve"> u 2025. godini iznose 3.708.124,68 eura što je za 18% više u odnosu na prethodnu godinu. Razlog povećanja rashoda odnosi se na nova zapošljavanja, na povećanje plaća</w:t>
      </w:r>
      <w:r>
        <w:t xml:space="preserve"> i materijalnih prava zaposlenika u 2025. godini a povećanje rashoda od 9% odnosi se na rashode za materijal i energiju uslijed rasta cijena.</w:t>
      </w:r>
    </w:p>
    <w:p w:rsidR="0038099F" w:rsidRDefault="0019532F">
      <w:r>
        <w:t>Manjak prihoda poslovanja od nefinancijske imovine iznosi 28.975,82 eura što se odnosi na nabavu novih udžbenika z</w:t>
      </w:r>
      <w:r>
        <w:t>a učenike a manjak financijske imovine od 188.731,71 eura se odnosi povećane rashode knjiženje 13. plaće u 2025. godini.</w:t>
      </w:r>
    </w:p>
    <w:p w:rsidR="0038099F" w:rsidRDefault="0019532F">
      <w:r>
        <w:rPr>
          <w:b/>
        </w:rPr>
        <w:t>Ukupni rezultat poslovanja</w:t>
      </w:r>
      <w:r>
        <w:t xml:space="preserve"> za tekuće izvještajno razdoblje prikazuje manjak od 133.456,91 eura. Kumulirani višak iz protekle godine na </w:t>
      </w:r>
      <w:r>
        <w:t>kraju izvještajnog razdoblja iznosi 84.250,62 eura, višak prihoda iznosi 513.045,16 eura a manjak prihoda 646.502,07 eura što daje ukupan rezultat poslovanja u gore navedenom iznosu. Viškovi i manjkovi poslovanja objašnjeni su u uvodnoj bilješci.</w:t>
      </w:r>
    </w:p>
    <w:p w:rsidR="0038099F" w:rsidRDefault="0019532F">
      <w:r>
        <w:t> </w:t>
      </w:r>
    </w:p>
    <w:p w:rsidR="0038099F" w:rsidRDefault="0019532F">
      <w:r>
        <w:rPr>
          <w:b/>
        </w:rPr>
        <w:t>IZVJEŠT</w:t>
      </w:r>
      <w:r>
        <w:rPr>
          <w:b/>
        </w:rPr>
        <w:t>AJ O PROMJENAMA U VRIJEDNOSTI I OBUJMU IMOVINE I OBVEZA</w:t>
      </w:r>
    </w:p>
    <w:p w:rsidR="0038099F" w:rsidRDefault="0019532F">
      <w:r>
        <w:t xml:space="preserve">U Izvještaju o promjenama u vrijednosti i obujmu imovine i obveza evidentirana je promjena u povećanju dugotrajne imovine u iznosu od 57.281,62 eura utrošenih za renoviranje školske zgrade i prostora </w:t>
      </w:r>
      <w:r>
        <w:t>iz sredstava Osnivača, dijelom iz vlastitih sredstva te dijelom kroz sredstva projekata koji su financirani od Grada Čakovca. </w:t>
      </w:r>
    </w:p>
    <w:p w:rsidR="0038099F" w:rsidRDefault="0019532F">
      <w:r>
        <w:t> </w:t>
      </w:r>
    </w:p>
    <w:p w:rsidR="0038099F" w:rsidRDefault="0019532F">
      <w:r>
        <w:rPr>
          <w:b/>
        </w:rPr>
        <w:t>IZVJEŠTAJ O OBVEZAMA</w:t>
      </w:r>
    </w:p>
    <w:p w:rsidR="0038099F" w:rsidRDefault="0019532F">
      <w:r>
        <w:t>Stanje dospjelih obveza na kraju izvještajnog razdoblja iznosi 266.332,50 eura a odnosi se na rashode posl</w:t>
      </w:r>
      <w:r>
        <w:t>ovanja (obveze za plaće za prosinac a manji dio na obveze za materijalne rashode sa dospijećem u siječnju).</w:t>
      </w:r>
    </w:p>
    <w:p w:rsidR="0038099F" w:rsidRDefault="0019532F">
      <w:r>
        <w:t> </w:t>
      </w:r>
    </w:p>
    <w:p w:rsidR="0038099F" w:rsidRDefault="0019532F">
      <w:r>
        <w:rPr>
          <w:b/>
        </w:rPr>
        <w:t>IZVJEŠTAJ O EU SREDSTVIMA</w:t>
      </w:r>
    </w:p>
    <w:p w:rsidR="0038099F" w:rsidRDefault="0019532F">
      <w:r>
        <w:t xml:space="preserve">Sukladno Uputi za računovodstveno evidentiranje sredstava Europske unije koja je na snazi od 01.01.2025. godine te novim pravilima evidentiranja sredstava EU provedena su knjiženja za EU sredstva </w:t>
      </w:r>
      <w:proofErr w:type="spellStart"/>
      <w:r>
        <w:t>predhodnih</w:t>
      </w:r>
      <w:proofErr w:type="spellEnd"/>
      <w:r>
        <w:t xml:space="preserve"> godina koja su do sada bila prikazana kao višak p</w:t>
      </w:r>
      <w:r>
        <w:t xml:space="preserve">oslovanja. Slijedom toga došlo je do manjka prihoda poslovanja-ispravci iz </w:t>
      </w:r>
      <w:proofErr w:type="spellStart"/>
      <w:r>
        <w:t>predhodnih</w:t>
      </w:r>
      <w:proofErr w:type="spellEnd"/>
      <w:r>
        <w:t xml:space="preserve"> razdoblja u iznosu od 67.730,74 eura.</w:t>
      </w:r>
    </w:p>
    <w:p w:rsidR="0038099F" w:rsidRDefault="0019532F">
      <w:r>
        <w:lastRenderedPageBreak/>
        <w:t> </w:t>
      </w:r>
    </w:p>
    <w:p w:rsidR="0038099F" w:rsidRDefault="0019532F">
      <w:r>
        <w:br/>
      </w:r>
    </w:p>
    <w:p w:rsidR="0038099F" w:rsidRDefault="0019532F">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8099F">
        <w:tblPrEx>
          <w:tblCellMar>
            <w:top w:w="0" w:type="dxa"/>
            <w:bottom w:w="0" w:type="dxa"/>
          </w:tblCellMar>
        </w:tblPrEx>
        <w:trPr>
          <w:cantSplit/>
        </w:trPr>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 r</w:t>
            </w:r>
            <w:r>
              <w:rPr>
                <w:b/>
                <w:sz w:val="18"/>
              </w:rPr>
              <w:t>azdoblju tekuće godine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Indeks (%)</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19532F">
            <w:pPr>
              <w:keepNext/>
              <w:keepLines/>
              <w:spacing w:after="0" w:line="240" w:lineRule="auto"/>
            </w:pPr>
            <w:r>
              <w:rPr>
                <w:sz w:val="18"/>
              </w:rPr>
              <w:t>6</w:t>
            </w:r>
          </w:p>
        </w:tc>
        <w:tc>
          <w:tcPr>
            <w:tcW w:w="3180" w:type="dxa"/>
            <w:tcMar>
              <w:top w:w="0" w:type="dxa"/>
              <w:bottom w:w="0" w:type="dxa"/>
            </w:tcMar>
            <w:vAlign w:val="center"/>
          </w:tcPr>
          <w:p w:rsidR="0038099F" w:rsidRDefault="0019532F">
            <w:pPr>
              <w:keepNext/>
              <w:keepLines/>
              <w:spacing w:after="0" w:line="240" w:lineRule="auto"/>
            </w:pPr>
            <w:r>
              <w:rPr>
                <w:sz w:val="18"/>
              </w:rPr>
              <w:t>PRIHODI POSLOVANJA (šifre 61+62+63+64+65+66+67+68)</w:t>
            </w:r>
          </w:p>
        </w:tc>
        <w:tc>
          <w:tcPr>
            <w:tcW w:w="700" w:type="dxa"/>
            <w:tcMar>
              <w:top w:w="0" w:type="dxa"/>
              <w:bottom w:w="0" w:type="dxa"/>
            </w:tcMar>
            <w:vAlign w:val="center"/>
          </w:tcPr>
          <w:p w:rsidR="0038099F" w:rsidRDefault="0019532F">
            <w:pPr>
              <w:keepNext/>
              <w:keepLines/>
              <w:spacing w:after="0" w:line="240" w:lineRule="auto"/>
            </w:pPr>
            <w:r>
              <w:rPr>
                <w:sz w:val="18"/>
              </w:rPr>
              <w:t>6</w:t>
            </w:r>
          </w:p>
        </w:tc>
        <w:tc>
          <w:tcPr>
            <w:tcW w:w="1860" w:type="dxa"/>
            <w:tcMar>
              <w:top w:w="0" w:type="dxa"/>
              <w:bottom w:w="0" w:type="dxa"/>
            </w:tcMar>
            <w:vAlign w:val="center"/>
          </w:tcPr>
          <w:p w:rsidR="0038099F" w:rsidRDefault="0019532F">
            <w:pPr>
              <w:keepNext/>
              <w:keepLines/>
              <w:spacing w:after="0" w:line="240" w:lineRule="auto"/>
              <w:jc w:val="right"/>
            </w:pPr>
            <w:r>
              <w:rPr>
                <w:sz w:val="18"/>
              </w:rPr>
              <w:t>3.237.804,67</w:t>
            </w:r>
          </w:p>
        </w:tc>
        <w:tc>
          <w:tcPr>
            <w:tcW w:w="1860" w:type="dxa"/>
            <w:tcMar>
              <w:top w:w="0" w:type="dxa"/>
              <w:bottom w:w="0" w:type="dxa"/>
            </w:tcMar>
            <w:vAlign w:val="center"/>
          </w:tcPr>
          <w:p w:rsidR="0038099F" w:rsidRDefault="0019532F">
            <w:pPr>
              <w:keepNext/>
              <w:keepLines/>
              <w:spacing w:after="0" w:line="240" w:lineRule="auto"/>
              <w:jc w:val="right"/>
            </w:pPr>
            <w:r>
              <w:rPr>
                <w:sz w:val="18"/>
              </w:rPr>
              <w:t>3.519.392,97</w:t>
            </w:r>
          </w:p>
        </w:tc>
        <w:tc>
          <w:tcPr>
            <w:tcW w:w="700" w:type="dxa"/>
            <w:tcMar>
              <w:top w:w="0" w:type="dxa"/>
              <w:bottom w:w="0" w:type="dxa"/>
            </w:tcMar>
            <w:vAlign w:val="center"/>
          </w:tcPr>
          <w:p w:rsidR="0038099F" w:rsidRDefault="0019532F">
            <w:pPr>
              <w:keepNext/>
              <w:keepLines/>
              <w:spacing w:after="0" w:line="240" w:lineRule="auto"/>
              <w:jc w:val="right"/>
            </w:pPr>
            <w:r>
              <w:rPr>
                <w:sz w:val="18"/>
              </w:rPr>
              <w:t>108,7</w:t>
            </w:r>
          </w:p>
        </w:tc>
      </w:tr>
    </w:tbl>
    <w:p w:rsidR="0038099F" w:rsidRDefault="0038099F">
      <w:pPr>
        <w:spacing w:after="0"/>
      </w:pPr>
    </w:p>
    <w:p w:rsidR="0038099F" w:rsidRDefault="0019532F">
      <w:r>
        <w:t xml:space="preserve">Prihodi poslovanja u 2025. godini iznose 3.519.392,97 eura što je za 8% više u odnosu na </w:t>
      </w:r>
      <w:proofErr w:type="spellStart"/>
      <w:r>
        <w:t>predhodnu</w:t>
      </w:r>
      <w:proofErr w:type="spellEnd"/>
      <w:r>
        <w:t xml:space="preserve"> godinu.</w:t>
      </w:r>
    </w:p>
    <w:p w:rsidR="0038099F" w:rsidRDefault="0019532F">
      <w:r>
        <w:t xml:space="preserve">Razlog povećanja odnosi se na povećanje plaća i materijalnih prava zaposlenika u 2025. godini, prihoda od </w:t>
      </w:r>
      <w:proofErr w:type="spellStart"/>
      <w:r>
        <w:t>Erasmus</w:t>
      </w:r>
      <w:proofErr w:type="spellEnd"/>
      <w:r>
        <w:t xml:space="preserve"> + projekata koji su u završnoj fazi te povećanja prihoda iz nadležnog proračuna za financiranje redovne djelatnosti proračunskih korisnika tem</w:t>
      </w:r>
      <w:r>
        <w:t>eljem potrebe zapošljavanja dodatnih pomoćnika u nastavi za učenike s teškoćama u razvoju (odrađeno rebalansom -izmjene i dopune proračuna).</w:t>
      </w:r>
    </w:p>
    <w:p w:rsidR="0038099F" w:rsidRDefault="0038099F"/>
    <w:p w:rsidR="0038099F" w:rsidRDefault="0019532F">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8099F">
        <w:tblPrEx>
          <w:tblCellMar>
            <w:top w:w="0" w:type="dxa"/>
            <w:bottom w:w="0" w:type="dxa"/>
          </w:tblCellMar>
        </w:tblPrEx>
        <w:trPr>
          <w:cantSplit/>
        </w:trPr>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Indeks (%)</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19532F">
            <w:pPr>
              <w:keepNext/>
              <w:keepLines/>
              <w:spacing w:after="0" w:line="240" w:lineRule="auto"/>
            </w:pPr>
            <w:r>
              <w:rPr>
                <w:sz w:val="18"/>
              </w:rPr>
              <w:t>636</w:t>
            </w:r>
          </w:p>
        </w:tc>
        <w:tc>
          <w:tcPr>
            <w:tcW w:w="3180" w:type="dxa"/>
            <w:tcMar>
              <w:top w:w="0" w:type="dxa"/>
              <w:bottom w:w="0" w:type="dxa"/>
            </w:tcMar>
            <w:vAlign w:val="center"/>
          </w:tcPr>
          <w:p w:rsidR="0038099F" w:rsidRDefault="0019532F">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rsidR="0038099F" w:rsidRDefault="0019532F">
            <w:pPr>
              <w:keepNext/>
              <w:keepLines/>
              <w:spacing w:after="0" w:line="240" w:lineRule="auto"/>
            </w:pPr>
            <w:r>
              <w:rPr>
                <w:sz w:val="18"/>
              </w:rPr>
              <w:t>636</w:t>
            </w:r>
          </w:p>
        </w:tc>
        <w:tc>
          <w:tcPr>
            <w:tcW w:w="1860" w:type="dxa"/>
            <w:tcMar>
              <w:top w:w="0" w:type="dxa"/>
              <w:bottom w:w="0" w:type="dxa"/>
            </w:tcMar>
            <w:vAlign w:val="center"/>
          </w:tcPr>
          <w:p w:rsidR="0038099F" w:rsidRDefault="0019532F">
            <w:pPr>
              <w:keepNext/>
              <w:keepLines/>
              <w:spacing w:after="0" w:line="240" w:lineRule="auto"/>
              <w:jc w:val="right"/>
            </w:pPr>
            <w:r>
              <w:rPr>
                <w:sz w:val="18"/>
              </w:rPr>
              <w:t>2.522.597,25</w:t>
            </w:r>
          </w:p>
        </w:tc>
        <w:tc>
          <w:tcPr>
            <w:tcW w:w="1860" w:type="dxa"/>
            <w:tcMar>
              <w:top w:w="0" w:type="dxa"/>
              <w:bottom w:w="0" w:type="dxa"/>
            </w:tcMar>
            <w:vAlign w:val="center"/>
          </w:tcPr>
          <w:p w:rsidR="0038099F" w:rsidRDefault="0019532F">
            <w:pPr>
              <w:keepNext/>
              <w:keepLines/>
              <w:spacing w:after="0" w:line="240" w:lineRule="auto"/>
              <w:jc w:val="right"/>
            </w:pPr>
            <w:r>
              <w:rPr>
                <w:sz w:val="18"/>
              </w:rPr>
              <w:t>2.765.854,37</w:t>
            </w:r>
          </w:p>
        </w:tc>
        <w:tc>
          <w:tcPr>
            <w:tcW w:w="700" w:type="dxa"/>
            <w:tcMar>
              <w:top w:w="0" w:type="dxa"/>
              <w:bottom w:w="0" w:type="dxa"/>
            </w:tcMar>
            <w:vAlign w:val="center"/>
          </w:tcPr>
          <w:p w:rsidR="0038099F" w:rsidRDefault="0019532F">
            <w:pPr>
              <w:keepNext/>
              <w:keepLines/>
              <w:spacing w:after="0" w:line="240" w:lineRule="auto"/>
              <w:jc w:val="right"/>
            </w:pPr>
            <w:r>
              <w:rPr>
                <w:sz w:val="18"/>
              </w:rPr>
              <w:t>109,6</w:t>
            </w:r>
          </w:p>
        </w:tc>
      </w:tr>
    </w:tbl>
    <w:p w:rsidR="0038099F" w:rsidRDefault="0038099F">
      <w:pPr>
        <w:spacing w:after="0"/>
      </w:pPr>
    </w:p>
    <w:p w:rsidR="0038099F" w:rsidRDefault="0019532F">
      <w:r>
        <w:t>Povećani prihodi za plaću uslijed povećanja plaća i materijalnih prava zaposlenika i dodatnih zapošljavanja prema potrebama škole</w:t>
      </w:r>
    </w:p>
    <w:p w:rsidR="0038099F" w:rsidRDefault="0038099F"/>
    <w:p w:rsidR="0038099F" w:rsidRDefault="0019532F">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8099F">
        <w:tblPrEx>
          <w:tblCellMar>
            <w:top w:w="0" w:type="dxa"/>
            <w:bottom w:w="0" w:type="dxa"/>
          </w:tblCellMar>
        </w:tblPrEx>
        <w:trPr>
          <w:cantSplit/>
        </w:trPr>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w:t>
            </w:r>
            <w:r>
              <w:rPr>
                <w:b/>
                <w:sz w:val="18"/>
              </w:rPr>
              <w:t>m razdoblju tekuće godine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Indeks (%)</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19532F">
            <w:pPr>
              <w:keepNext/>
              <w:keepLines/>
              <w:spacing w:after="0" w:line="240" w:lineRule="auto"/>
            </w:pPr>
            <w:r>
              <w:rPr>
                <w:sz w:val="18"/>
              </w:rPr>
              <w:t>639</w:t>
            </w:r>
          </w:p>
        </w:tc>
        <w:tc>
          <w:tcPr>
            <w:tcW w:w="3180" w:type="dxa"/>
            <w:tcMar>
              <w:top w:w="0" w:type="dxa"/>
              <w:bottom w:w="0" w:type="dxa"/>
            </w:tcMar>
            <w:vAlign w:val="center"/>
          </w:tcPr>
          <w:p w:rsidR="0038099F" w:rsidRDefault="0019532F">
            <w:pPr>
              <w:keepNext/>
              <w:keepLines/>
              <w:spacing w:after="0" w:line="240" w:lineRule="auto"/>
            </w:pPr>
            <w:r>
              <w:rPr>
                <w:sz w:val="18"/>
              </w:rPr>
              <w:t>Prijenosi između proračunskih korisnika istog proračuna (šifre 6391 do 6394)</w:t>
            </w:r>
          </w:p>
        </w:tc>
        <w:tc>
          <w:tcPr>
            <w:tcW w:w="700" w:type="dxa"/>
            <w:tcMar>
              <w:top w:w="0" w:type="dxa"/>
              <w:bottom w:w="0" w:type="dxa"/>
            </w:tcMar>
            <w:vAlign w:val="center"/>
          </w:tcPr>
          <w:p w:rsidR="0038099F" w:rsidRDefault="0019532F">
            <w:pPr>
              <w:keepNext/>
              <w:keepLines/>
              <w:spacing w:after="0" w:line="240" w:lineRule="auto"/>
            </w:pPr>
            <w:r>
              <w:rPr>
                <w:sz w:val="18"/>
              </w:rPr>
              <w:t>639</w:t>
            </w:r>
          </w:p>
        </w:tc>
        <w:tc>
          <w:tcPr>
            <w:tcW w:w="1860" w:type="dxa"/>
            <w:tcMar>
              <w:top w:w="0" w:type="dxa"/>
              <w:bottom w:w="0" w:type="dxa"/>
            </w:tcMar>
            <w:vAlign w:val="center"/>
          </w:tcPr>
          <w:p w:rsidR="0038099F" w:rsidRDefault="0019532F">
            <w:pPr>
              <w:keepNext/>
              <w:keepLines/>
              <w:spacing w:after="0" w:line="240" w:lineRule="auto"/>
              <w:jc w:val="right"/>
            </w:pPr>
            <w:r>
              <w:rPr>
                <w:sz w:val="18"/>
              </w:rPr>
              <w:t>93.686,80</w:t>
            </w:r>
          </w:p>
        </w:tc>
        <w:tc>
          <w:tcPr>
            <w:tcW w:w="1860" w:type="dxa"/>
            <w:tcMar>
              <w:top w:w="0" w:type="dxa"/>
              <w:bottom w:w="0" w:type="dxa"/>
            </w:tcMar>
            <w:vAlign w:val="center"/>
          </w:tcPr>
          <w:p w:rsidR="0038099F" w:rsidRDefault="0019532F">
            <w:pPr>
              <w:keepNext/>
              <w:keepLines/>
              <w:spacing w:after="0" w:line="240" w:lineRule="auto"/>
              <w:jc w:val="right"/>
            </w:pPr>
            <w:r>
              <w:rPr>
                <w:sz w:val="18"/>
              </w:rPr>
              <w:t>147.083,16</w:t>
            </w:r>
          </w:p>
        </w:tc>
        <w:tc>
          <w:tcPr>
            <w:tcW w:w="700" w:type="dxa"/>
            <w:tcMar>
              <w:top w:w="0" w:type="dxa"/>
              <w:bottom w:w="0" w:type="dxa"/>
            </w:tcMar>
            <w:vAlign w:val="center"/>
          </w:tcPr>
          <w:p w:rsidR="0038099F" w:rsidRDefault="0019532F">
            <w:pPr>
              <w:keepNext/>
              <w:keepLines/>
              <w:spacing w:after="0" w:line="240" w:lineRule="auto"/>
              <w:jc w:val="right"/>
            </w:pPr>
            <w:r>
              <w:rPr>
                <w:sz w:val="18"/>
              </w:rPr>
              <w:t>157,0</w:t>
            </w:r>
          </w:p>
        </w:tc>
      </w:tr>
    </w:tbl>
    <w:p w:rsidR="0038099F" w:rsidRDefault="0038099F">
      <w:pPr>
        <w:spacing w:after="0"/>
      </w:pPr>
    </w:p>
    <w:p w:rsidR="0038099F" w:rsidRDefault="0019532F">
      <w:r>
        <w:t>Zapošljavanje dodatnih pomoćnika u nastavi prema potrebama učenika škole</w:t>
      </w:r>
    </w:p>
    <w:p w:rsidR="0038099F" w:rsidRDefault="0038099F"/>
    <w:p w:rsidR="0038099F" w:rsidRDefault="0019532F">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8099F">
        <w:tblPrEx>
          <w:tblCellMar>
            <w:top w:w="0" w:type="dxa"/>
            <w:bottom w:w="0" w:type="dxa"/>
          </w:tblCellMar>
        </w:tblPrEx>
        <w:trPr>
          <w:cantSplit/>
        </w:trPr>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Račun iz </w:t>
            </w:r>
            <w:proofErr w:type="spellStart"/>
            <w:r>
              <w:rPr>
                <w:b/>
                <w:sz w:val="18"/>
              </w:rPr>
              <w:t>rač</w:t>
            </w:r>
            <w:proofErr w:type="spellEnd"/>
            <w:r>
              <w:rPr>
                <w:b/>
                <w:sz w:val="18"/>
              </w:rPr>
              <w:t xml:space="preserve">. </w:t>
            </w:r>
            <w:r>
              <w:rPr>
                <w:b/>
                <w:sz w:val="18"/>
              </w:rPr>
              <w:t>plana</w:t>
            </w:r>
          </w:p>
        </w:tc>
        <w:tc>
          <w:tcPr>
            <w:tcW w:w="318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Indeks (%)</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19532F">
            <w:pPr>
              <w:keepNext/>
              <w:keepLines/>
              <w:spacing w:after="0" w:line="240" w:lineRule="auto"/>
            </w:pPr>
            <w:r>
              <w:rPr>
                <w:sz w:val="18"/>
              </w:rPr>
              <w:t>3</w:t>
            </w:r>
          </w:p>
        </w:tc>
        <w:tc>
          <w:tcPr>
            <w:tcW w:w="3180" w:type="dxa"/>
            <w:tcMar>
              <w:top w:w="0" w:type="dxa"/>
              <w:bottom w:w="0" w:type="dxa"/>
            </w:tcMar>
            <w:vAlign w:val="center"/>
          </w:tcPr>
          <w:p w:rsidR="0038099F" w:rsidRDefault="0019532F">
            <w:pPr>
              <w:keepNext/>
              <w:keepLines/>
              <w:spacing w:after="0" w:line="240" w:lineRule="auto"/>
            </w:pPr>
            <w:r>
              <w:rPr>
                <w:sz w:val="18"/>
              </w:rPr>
              <w:t>RASHODI POSLOVANJA (šifre 31+32+34+35+36+37+38)</w:t>
            </w:r>
          </w:p>
        </w:tc>
        <w:tc>
          <w:tcPr>
            <w:tcW w:w="700" w:type="dxa"/>
            <w:tcMar>
              <w:top w:w="0" w:type="dxa"/>
              <w:bottom w:w="0" w:type="dxa"/>
            </w:tcMar>
            <w:vAlign w:val="center"/>
          </w:tcPr>
          <w:p w:rsidR="0038099F" w:rsidRDefault="0019532F">
            <w:pPr>
              <w:keepNext/>
              <w:keepLines/>
              <w:spacing w:after="0" w:line="240" w:lineRule="auto"/>
            </w:pPr>
            <w:r>
              <w:rPr>
                <w:sz w:val="18"/>
              </w:rPr>
              <w:t>3</w:t>
            </w:r>
          </w:p>
        </w:tc>
        <w:tc>
          <w:tcPr>
            <w:tcW w:w="1860" w:type="dxa"/>
            <w:tcMar>
              <w:top w:w="0" w:type="dxa"/>
              <w:bottom w:w="0" w:type="dxa"/>
            </w:tcMar>
            <w:vAlign w:val="center"/>
          </w:tcPr>
          <w:p w:rsidR="0038099F" w:rsidRDefault="0019532F">
            <w:pPr>
              <w:keepNext/>
              <w:keepLines/>
              <w:spacing w:after="0" w:line="240" w:lineRule="auto"/>
              <w:jc w:val="right"/>
            </w:pPr>
            <w:r>
              <w:rPr>
                <w:sz w:val="18"/>
              </w:rPr>
              <w:t>3.126.230,99</w:t>
            </w:r>
          </w:p>
        </w:tc>
        <w:tc>
          <w:tcPr>
            <w:tcW w:w="1860" w:type="dxa"/>
            <w:tcMar>
              <w:top w:w="0" w:type="dxa"/>
              <w:bottom w:w="0" w:type="dxa"/>
            </w:tcMar>
            <w:vAlign w:val="center"/>
          </w:tcPr>
          <w:p w:rsidR="0038099F" w:rsidRDefault="0019532F">
            <w:pPr>
              <w:keepNext/>
              <w:keepLines/>
              <w:spacing w:after="0" w:line="240" w:lineRule="auto"/>
              <w:jc w:val="right"/>
            </w:pPr>
            <w:r>
              <w:rPr>
                <w:sz w:val="18"/>
              </w:rPr>
              <w:t>3.708.124,68</w:t>
            </w:r>
          </w:p>
        </w:tc>
        <w:tc>
          <w:tcPr>
            <w:tcW w:w="700" w:type="dxa"/>
            <w:tcMar>
              <w:top w:w="0" w:type="dxa"/>
              <w:bottom w:w="0" w:type="dxa"/>
            </w:tcMar>
            <w:vAlign w:val="center"/>
          </w:tcPr>
          <w:p w:rsidR="0038099F" w:rsidRDefault="0019532F">
            <w:pPr>
              <w:keepNext/>
              <w:keepLines/>
              <w:spacing w:after="0" w:line="240" w:lineRule="auto"/>
              <w:jc w:val="right"/>
            </w:pPr>
            <w:r>
              <w:rPr>
                <w:sz w:val="18"/>
              </w:rPr>
              <w:t>118,6</w:t>
            </w:r>
          </w:p>
        </w:tc>
      </w:tr>
    </w:tbl>
    <w:p w:rsidR="0038099F" w:rsidRDefault="0038099F">
      <w:pPr>
        <w:spacing w:after="0"/>
      </w:pPr>
    </w:p>
    <w:p w:rsidR="0038099F" w:rsidRDefault="0019532F">
      <w:r>
        <w:t xml:space="preserve">Rashodi poslovanja u 2025. godini iznose 3.708.124,68 eura što je za 18% više u odnosu na </w:t>
      </w:r>
      <w:proofErr w:type="spellStart"/>
      <w:r>
        <w:t>predhodnu</w:t>
      </w:r>
      <w:proofErr w:type="spellEnd"/>
      <w:r>
        <w:t xml:space="preserve"> godinu. Razlog povećanja rashoda odnosi se na nova zapošljavanja, na povećanje plaća i materijalnih prava zaposlenika u 2025. godini a povećanje rashoda od </w:t>
      </w:r>
      <w:r>
        <w:t>9% odnosi se na rashode za materijal i energiju uslijed rasta cijena.</w:t>
      </w:r>
    </w:p>
    <w:p w:rsidR="0038099F" w:rsidRDefault="0038099F"/>
    <w:p w:rsidR="0038099F" w:rsidRDefault="0019532F">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8099F">
        <w:tblPrEx>
          <w:tblCellMar>
            <w:top w:w="0" w:type="dxa"/>
            <w:bottom w:w="0" w:type="dxa"/>
          </w:tblCellMar>
        </w:tblPrEx>
        <w:trPr>
          <w:cantSplit/>
        </w:trPr>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Indeks (%)</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19532F">
            <w:pPr>
              <w:keepNext/>
              <w:keepLines/>
              <w:spacing w:after="0" w:line="240" w:lineRule="auto"/>
            </w:pPr>
            <w:r>
              <w:rPr>
                <w:sz w:val="18"/>
              </w:rPr>
              <w:t>3111</w:t>
            </w:r>
          </w:p>
        </w:tc>
        <w:tc>
          <w:tcPr>
            <w:tcW w:w="3180" w:type="dxa"/>
            <w:tcMar>
              <w:top w:w="0" w:type="dxa"/>
              <w:bottom w:w="0" w:type="dxa"/>
            </w:tcMar>
            <w:vAlign w:val="center"/>
          </w:tcPr>
          <w:p w:rsidR="0038099F" w:rsidRDefault="0019532F">
            <w:pPr>
              <w:keepNext/>
              <w:keepLines/>
              <w:spacing w:after="0" w:line="240" w:lineRule="auto"/>
            </w:pPr>
            <w:r>
              <w:rPr>
                <w:sz w:val="18"/>
              </w:rPr>
              <w:t xml:space="preserve">Plaće za redovan </w:t>
            </w:r>
            <w:r>
              <w:rPr>
                <w:sz w:val="18"/>
              </w:rPr>
              <w:t>rad</w:t>
            </w:r>
          </w:p>
        </w:tc>
        <w:tc>
          <w:tcPr>
            <w:tcW w:w="700" w:type="dxa"/>
            <w:tcMar>
              <w:top w:w="0" w:type="dxa"/>
              <w:bottom w:w="0" w:type="dxa"/>
            </w:tcMar>
            <w:vAlign w:val="center"/>
          </w:tcPr>
          <w:p w:rsidR="0038099F" w:rsidRDefault="0019532F">
            <w:pPr>
              <w:keepNext/>
              <w:keepLines/>
              <w:spacing w:after="0" w:line="240" w:lineRule="auto"/>
            </w:pPr>
            <w:r>
              <w:rPr>
                <w:sz w:val="18"/>
              </w:rPr>
              <w:t>3111</w:t>
            </w:r>
          </w:p>
        </w:tc>
        <w:tc>
          <w:tcPr>
            <w:tcW w:w="1860" w:type="dxa"/>
            <w:tcMar>
              <w:top w:w="0" w:type="dxa"/>
              <w:bottom w:w="0" w:type="dxa"/>
            </w:tcMar>
            <w:vAlign w:val="center"/>
          </w:tcPr>
          <w:p w:rsidR="0038099F" w:rsidRDefault="0019532F">
            <w:pPr>
              <w:keepNext/>
              <w:keepLines/>
              <w:spacing w:after="0" w:line="240" w:lineRule="auto"/>
              <w:jc w:val="right"/>
            </w:pPr>
            <w:r>
              <w:rPr>
                <w:sz w:val="18"/>
              </w:rPr>
              <w:t>2.029.545,78</w:t>
            </w:r>
          </w:p>
        </w:tc>
        <w:tc>
          <w:tcPr>
            <w:tcW w:w="1860" w:type="dxa"/>
            <w:tcMar>
              <w:top w:w="0" w:type="dxa"/>
              <w:bottom w:w="0" w:type="dxa"/>
            </w:tcMar>
            <w:vAlign w:val="center"/>
          </w:tcPr>
          <w:p w:rsidR="0038099F" w:rsidRDefault="0019532F">
            <w:pPr>
              <w:keepNext/>
              <w:keepLines/>
              <w:spacing w:after="0" w:line="240" w:lineRule="auto"/>
              <w:jc w:val="right"/>
            </w:pPr>
            <w:r>
              <w:rPr>
                <w:sz w:val="18"/>
              </w:rPr>
              <w:t>2.451.889,80</w:t>
            </w:r>
          </w:p>
        </w:tc>
        <w:tc>
          <w:tcPr>
            <w:tcW w:w="700" w:type="dxa"/>
            <w:tcMar>
              <w:top w:w="0" w:type="dxa"/>
              <w:bottom w:w="0" w:type="dxa"/>
            </w:tcMar>
            <w:vAlign w:val="center"/>
          </w:tcPr>
          <w:p w:rsidR="0038099F" w:rsidRDefault="0019532F">
            <w:pPr>
              <w:keepNext/>
              <w:keepLines/>
              <w:spacing w:after="0" w:line="240" w:lineRule="auto"/>
              <w:jc w:val="right"/>
            </w:pPr>
            <w:r>
              <w:rPr>
                <w:sz w:val="18"/>
              </w:rPr>
              <w:t>120,8</w:t>
            </w:r>
          </w:p>
        </w:tc>
      </w:tr>
    </w:tbl>
    <w:p w:rsidR="0038099F" w:rsidRDefault="0038099F">
      <w:pPr>
        <w:spacing w:after="0"/>
      </w:pPr>
    </w:p>
    <w:p w:rsidR="0038099F" w:rsidRDefault="0019532F">
      <w:r>
        <w:t>Plaće za redovan rad uključuju i troškove mirovinskog osiguranja koji su protekle godine iskazani na kontu 3131 te je iz tog razloga iznos u odnosu na proteklu godinu veći.</w:t>
      </w:r>
    </w:p>
    <w:p w:rsidR="0038099F" w:rsidRDefault="0038099F"/>
    <w:p w:rsidR="0038099F" w:rsidRDefault="0019532F">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8099F">
        <w:tblPrEx>
          <w:tblCellMar>
            <w:top w:w="0" w:type="dxa"/>
            <w:bottom w:w="0" w:type="dxa"/>
          </w:tblCellMar>
        </w:tblPrEx>
        <w:trPr>
          <w:cantSplit/>
        </w:trPr>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Indeks (%)</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19532F">
            <w:pPr>
              <w:keepNext/>
              <w:keepLines/>
              <w:spacing w:after="0" w:line="240" w:lineRule="auto"/>
            </w:pPr>
            <w:r>
              <w:rPr>
                <w:sz w:val="18"/>
              </w:rPr>
              <w:t>3113</w:t>
            </w:r>
          </w:p>
        </w:tc>
        <w:tc>
          <w:tcPr>
            <w:tcW w:w="3180" w:type="dxa"/>
            <w:tcMar>
              <w:top w:w="0" w:type="dxa"/>
              <w:bottom w:w="0" w:type="dxa"/>
            </w:tcMar>
            <w:vAlign w:val="center"/>
          </w:tcPr>
          <w:p w:rsidR="0038099F" w:rsidRDefault="0019532F">
            <w:pPr>
              <w:keepNext/>
              <w:keepLines/>
              <w:spacing w:after="0" w:line="240" w:lineRule="auto"/>
            </w:pPr>
            <w:r>
              <w:rPr>
                <w:sz w:val="18"/>
              </w:rPr>
              <w:t>Plaće za prekovremeni rad</w:t>
            </w:r>
          </w:p>
        </w:tc>
        <w:tc>
          <w:tcPr>
            <w:tcW w:w="700" w:type="dxa"/>
            <w:tcMar>
              <w:top w:w="0" w:type="dxa"/>
              <w:bottom w:w="0" w:type="dxa"/>
            </w:tcMar>
            <w:vAlign w:val="center"/>
          </w:tcPr>
          <w:p w:rsidR="0038099F" w:rsidRDefault="0019532F">
            <w:pPr>
              <w:keepNext/>
              <w:keepLines/>
              <w:spacing w:after="0" w:line="240" w:lineRule="auto"/>
            </w:pPr>
            <w:r>
              <w:rPr>
                <w:sz w:val="18"/>
              </w:rPr>
              <w:t>3113</w:t>
            </w:r>
          </w:p>
        </w:tc>
        <w:tc>
          <w:tcPr>
            <w:tcW w:w="1860" w:type="dxa"/>
            <w:tcMar>
              <w:top w:w="0" w:type="dxa"/>
              <w:bottom w:w="0" w:type="dxa"/>
            </w:tcMar>
            <w:vAlign w:val="center"/>
          </w:tcPr>
          <w:p w:rsidR="0038099F" w:rsidRDefault="0019532F">
            <w:pPr>
              <w:keepNext/>
              <w:keepLines/>
              <w:spacing w:after="0" w:line="240" w:lineRule="auto"/>
              <w:jc w:val="right"/>
            </w:pPr>
            <w:r>
              <w:rPr>
                <w:sz w:val="18"/>
              </w:rPr>
              <w:t>47.902,57</w:t>
            </w:r>
          </w:p>
        </w:tc>
        <w:tc>
          <w:tcPr>
            <w:tcW w:w="1860" w:type="dxa"/>
            <w:tcMar>
              <w:top w:w="0" w:type="dxa"/>
              <w:bottom w:w="0" w:type="dxa"/>
            </w:tcMar>
            <w:vAlign w:val="center"/>
          </w:tcPr>
          <w:p w:rsidR="0038099F" w:rsidRDefault="0019532F">
            <w:pPr>
              <w:keepNext/>
              <w:keepLines/>
              <w:spacing w:after="0" w:line="240" w:lineRule="auto"/>
              <w:jc w:val="right"/>
            </w:pPr>
            <w:r>
              <w:rPr>
                <w:sz w:val="18"/>
              </w:rPr>
              <w:t>91.275,42</w:t>
            </w:r>
          </w:p>
        </w:tc>
        <w:tc>
          <w:tcPr>
            <w:tcW w:w="700" w:type="dxa"/>
            <w:tcMar>
              <w:top w:w="0" w:type="dxa"/>
              <w:bottom w:w="0" w:type="dxa"/>
            </w:tcMar>
            <w:vAlign w:val="center"/>
          </w:tcPr>
          <w:p w:rsidR="0038099F" w:rsidRDefault="0019532F">
            <w:pPr>
              <w:keepNext/>
              <w:keepLines/>
              <w:spacing w:after="0" w:line="240" w:lineRule="auto"/>
              <w:jc w:val="right"/>
            </w:pPr>
            <w:r>
              <w:rPr>
                <w:sz w:val="18"/>
              </w:rPr>
              <w:t>190,5</w:t>
            </w:r>
          </w:p>
        </w:tc>
      </w:tr>
    </w:tbl>
    <w:p w:rsidR="0038099F" w:rsidRDefault="0038099F">
      <w:pPr>
        <w:spacing w:after="0"/>
      </w:pPr>
    </w:p>
    <w:p w:rsidR="0038099F" w:rsidRDefault="0019532F">
      <w:r>
        <w:t>Potreba za prekovremenim radom uslijed povećanog broja bolovanja zaposlenika.</w:t>
      </w:r>
    </w:p>
    <w:p w:rsidR="0038099F" w:rsidRDefault="0038099F"/>
    <w:p w:rsidR="0038099F" w:rsidRDefault="0019532F">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8099F">
        <w:tblPrEx>
          <w:tblCellMar>
            <w:top w:w="0" w:type="dxa"/>
            <w:bottom w:w="0" w:type="dxa"/>
          </w:tblCellMar>
        </w:tblPrEx>
        <w:trPr>
          <w:cantSplit/>
        </w:trPr>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Indeks (%)</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19532F">
            <w:pPr>
              <w:keepNext/>
              <w:keepLines/>
              <w:spacing w:after="0" w:line="240" w:lineRule="auto"/>
            </w:pPr>
            <w:r>
              <w:rPr>
                <w:sz w:val="18"/>
              </w:rPr>
              <w:t>323</w:t>
            </w:r>
          </w:p>
        </w:tc>
        <w:tc>
          <w:tcPr>
            <w:tcW w:w="3180" w:type="dxa"/>
            <w:tcMar>
              <w:top w:w="0" w:type="dxa"/>
              <w:bottom w:w="0" w:type="dxa"/>
            </w:tcMar>
            <w:vAlign w:val="center"/>
          </w:tcPr>
          <w:p w:rsidR="0038099F" w:rsidRDefault="0019532F">
            <w:pPr>
              <w:keepNext/>
              <w:keepLines/>
              <w:spacing w:after="0" w:line="240" w:lineRule="auto"/>
            </w:pPr>
            <w:r>
              <w:rPr>
                <w:sz w:val="18"/>
              </w:rPr>
              <w:t>Rashodi za</w:t>
            </w:r>
            <w:r>
              <w:rPr>
                <w:sz w:val="18"/>
              </w:rPr>
              <w:t xml:space="preserve"> usluge (šifre 3231 do 3239)</w:t>
            </w:r>
          </w:p>
        </w:tc>
        <w:tc>
          <w:tcPr>
            <w:tcW w:w="700" w:type="dxa"/>
            <w:tcMar>
              <w:top w:w="0" w:type="dxa"/>
              <w:bottom w:w="0" w:type="dxa"/>
            </w:tcMar>
            <w:vAlign w:val="center"/>
          </w:tcPr>
          <w:p w:rsidR="0038099F" w:rsidRDefault="0019532F">
            <w:pPr>
              <w:keepNext/>
              <w:keepLines/>
              <w:spacing w:after="0" w:line="240" w:lineRule="auto"/>
            </w:pPr>
            <w:r>
              <w:rPr>
                <w:sz w:val="18"/>
              </w:rPr>
              <w:t>323</w:t>
            </w:r>
          </w:p>
        </w:tc>
        <w:tc>
          <w:tcPr>
            <w:tcW w:w="1860" w:type="dxa"/>
            <w:tcMar>
              <w:top w:w="0" w:type="dxa"/>
              <w:bottom w:w="0" w:type="dxa"/>
            </w:tcMar>
            <w:vAlign w:val="center"/>
          </w:tcPr>
          <w:p w:rsidR="0038099F" w:rsidRDefault="0019532F">
            <w:pPr>
              <w:keepNext/>
              <w:keepLines/>
              <w:spacing w:after="0" w:line="240" w:lineRule="auto"/>
              <w:jc w:val="right"/>
            </w:pPr>
            <w:r>
              <w:rPr>
                <w:sz w:val="18"/>
              </w:rPr>
              <w:t>98.110,44</w:t>
            </w:r>
          </w:p>
        </w:tc>
        <w:tc>
          <w:tcPr>
            <w:tcW w:w="1860" w:type="dxa"/>
            <w:tcMar>
              <w:top w:w="0" w:type="dxa"/>
              <w:bottom w:w="0" w:type="dxa"/>
            </w:tcMar>
            <w:vAlign w:val="center"/>
          </w:tcPr>
          <w:p w:rsidR="0038099F" w:rsidRDefault="0019532F">
            <w:pPr>
              <w:keepNext/>
              <w:keepLines/>
              <w:spacing w:after="0" w:line="240" w:lineRule="auto"/>
              <w:jc w:val="right"/>
            </w:pPr>
            <w:r>
              <w:rPr>
                <w:sz w:val="18"/>
              </w:rPr>
              <w:t>159.834,79</w:t>
            </w:r>
          </w:p>
        </w:tc>
        <w:tc>
          <w:tcPr>
            <w:tcW w:w="700" w:type="dxa"/>
            <w:tcMar>
              <w:top w:w="0" w:type="dxa"/>
              <w:bottom w:w="0" w:type="dxa"/>
            </w:tcMar>
            <w:vAlign w:val="center"/>
          </w:tcPr>
          <w:p w:rsidR="0038099F" w:rsidRDefault="0019532F">
            <w:pPr>
              <w:keepNext/>
              <w:keepLines/>
              <w:spacing w:after="0" w:line="240" w:lineRule="auto"/>
              <w:jc w:val="right"/>
            </w:pPr>
            <w:r>
              <w:rPr>
                <w:sz w:val="18"/>
              </w:rPr>
              <w:t>162,9</w:t>
            </w:r>
          </w:p>
        </w:tc>
      </w:tr>
    </w:tbl>
    <w:p w:rsidR="0038099F" w:rsidRDefault="0038099F">
      <w:pPr>
        <w:spacing w:after="0"/>
      </w:pPr>
    </w:p>
    <w:p w:rsidR="0038099F" w:rsidRDefault="0019532F">
      <w:r>
        <w:t xml:space="preserve">Povećanje rashoda za usluge nastao je zbog većeg broja mobilnosti slijedom provođenja projekata </w:t>
      </w:r>
      <w:proofErr w:type="spellStart"/>
      <w:r>
        <w:t>Erasmus</w:t>
      </w:r>
      <w:proofErr w:type="spellEnd"/>
    </w:p>
    <w:p w:rsidR="0038099F" w:rsidRDefault="0038099F"/>
    <w:p w:rsidR="0038099F" w:rsidRDefault="0019532F">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8099F">
        <w:tblPrEx>
          <w:tblCellMar>
            <w:top w:w="0" w:type="dxa"/>
            <w:bottom w:w="0" w:type="dxa"/>
          </w:tblCellMar>
        </w:tblPrEx>
        <w:trPr>
          <w:cantSplit/>
        </w:trPr>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Indeks (%)</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19532F">
            <w:pPr>
              <w:keepNext/>
              <w:keepLines/>
              <w:spacing w:after="0" w:line="240" w:lineRule="auto"/>
            </w:pPr>
            <w:r>
              <w:rPr>
                <w:sz w:val="18"/>
              </w:rPr>
              <w:t>3293</w:t>
            </w:r>
          </w:p>
        </w:tc>
        <w:tc>
          <w:tcPr>
            <w:tcW w:w="3180" w:type="dxa"/>
            <w:tcMar>
              <w:top w:w="0" w:type="dxa"/>
              <w:bottom w:w="0" w:type="dxa"/>
            </w:tcMar>
            <w:vAlign w:val="center"/>
          </w:tcPr>
          <w:p w:rsidR="0038099F" w:rsidRDefault="0019532F">
            <w:pPr>
              <w:keepNext/>
              <w:keepLines/>
              <w:spacing w:after="0" w:line="240" w:lineRule="auto"/>
            </w:pPr>
            <w:r>
              <w:rPr>
                <w:sz w:val="18"/>
              </w:rPr>
              <w:t>Reprezentacija</w:t>
            </w:r>
          </w:p>
        </w:tc>
        <w:tc>
          <w:tcPr>
            <w:tcW w:w="700" w:type="dxa"/>
            <w:tcMar>
              <w:top w:w="0" w:type="dxa"/>
              <w:bottom w:w="0" w:type="dxa"/>
            </w:tcMar>
            <w:vAlign w:val="center"/>
          </w:tcPr>
          <w:p w:rsidR="0038099F" w:rsidRDefault="0019532F">
            <w:pPr>
              <w:keepNext/>
              <w:keepLines/>
              <w:spacing w:after="0" w:line="240" w:lineRule="auto"/>
            </w:pPr>
            <w:r>
              <w:rPr>
                <w:sz w:val="18"/>
              </w:rPr>
              <w:t>3293</w:t>
            </w:r>
          </w:p>
        </w:tc>
        <w:tc>
          <w:tcPr>
            <w:tcW w:w="1860" w:type="dxa"/>
            <w:tcMar>
              <w:top w:w="0" w:type="dxa"/>
              <w:bottom w:w="0" w:type="dxa"/>
            </w:tcMar>
            <w:vAlign w:val="center"/>
          </w:tcPr>
          <w:p w:rsidR="0038099F" w:rsidRDefault="0019532F">
            <w:pPr>
              <w:keepNext/>
              <w:keepLines/>
              <w:spacing w:after="0" w:line="240" w:lineRule="auto"/>
              <w:jc w:val="right"/>
            </w:pPr>
            <w:r>
              <w:rPr>
                <w:sz w:val="18"/>
              </w:rPr>
              <w:t>1.114,50</w:t>
            </w:r>
          </w:p>
        </w:tc>
        <w:tc>
          <w:tcPr>
            <w:tcW w:w="1860" w:type="dxa"/>
            <w:tcMar>
              <w:top w:w="0" w:type="dxa"/>
              <w:bottom w:w="0" w:type="dxa"/>
            </w:tcMar>
            <w:vAlign w:val="center"/>
          </w:tcPr>
          <w:p w:rsidR="0038099F" w:rsidRDefault="0019532F">
            <w:pPr>
              <w:keepNext/>
              <w:keepLines/>
              <w:spacing w:after="0" w:line="240" w:lineRule="auto"/>
              <w:jc w:val="right"/>
            </w:pPr>
            <w:r>
              <w:rPr>
                <w:sz w:val="18"/>
              </w:rPr>
              <w:t>3.977,71</w:t>
            </w:r>
          </w:p>
        </w:tc>
        <w:tc>
          <w:tcPr>
            <w:tcW w:w="700" w:type="dxa"/>
            <w:tcMar>
              <w:top w:w="0" w:type="dxa"/>
              <w:bottom w:w="0" w:type="dxa"/>
            </w:tcMar>
            <w:vAlign w:val="center"/>
          </w:tcPr>
          <w:p w:rsidR="0038099F" w:rsidRDefault="0019532F">
            <w:pPr>
              <w:keepNext/>
              <w:keepLines/>
              <w:spacing w:after="0" w:line="240" w:lineRule="auto"/>
              <w:jc w:val="right"/>
            </w:pPr>
            <w:r>
              <w:rPr>
                <w:sz w:val="18"/>
              </w:rPr>
              <w:t>356,9</w:t>
            </w:r>
          </w:p>
        </w:tc>
      </w:tr>
    </w:tbl>
    <w:p w:rsidR="0038099F" w:rsidRDefault="0038099F">
      <w:pPr>
        <w:spacing w:after="0"/>
      </w:pPr>
    </w:p>
    <w:p w:rsidR="0038099F" w:rsidRDefault="0019532F">
      <w:r>
        <w:t xml:space="preserve">Povećanje rashoda nastao je zbog provođenja projekata </w:t>
      </w:r>
      <w:proofErr w:type="spellStart"/>
      <w:r>
        <w:t>Erasmus</w:t>
      </w:r>
      <w:proofErr w:type="spellEnd"/>
    </w:p>
    <w:p w:rsidR="0038099F" w:rsidRDefault="0038099F"/>
    <w:p w:rsidR="0038099F" w:rsidRDefault="0019532F">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8099F">
        <w:tblPrEx>
          <w:tblCellMar>
            <w:top w:w="0" w:type="dxa"/>
            <w:bottom w:w="0" w:type="dxa"/>
          </w:tblCellMar>
        </w:tblPrEx>
        <w:trPr>
          <w:cantSplit/>
        </w:trPr>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Indeks (%)</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19532F">
            <w:pPr>
              <w:keepNext/>
              <w:keepLines/>
              <w:spacing w:after="0" w:line="240" w:lineRule="auto"/>
            </w:pPr>
            <w:r>
              <w:rPr>
                <w:sz w:val="18"/>
              </w:rPr>
              <w:t>3299</w:t>
            </w:r>
          </w:p>
        </w:tc>
        <w:tc>
          <w:tcPr>
            <w:tcW w:w="3180" w:type="dxa"/>
            <w:tcMar>
              <w:top w:w="0" w:type="dxa"/>
              <w:bottom w:w="0" w:type="dxa"/>
            </w:tcMar>
            <w:vAlign w:val="center"/>
          </w:tcPr>
          <w:p w:rsidR="0038099F" w:rsidRDefault="0019532F">
            <w:pPr>
              <w:keepNext/>
              <w:keepLines/>
              <w:spacing w:after="0" w:line="240" w:lineRule="auto"/>
            </w:pPr>
            <w:r>
              <w:rPr>
                <w:sz w:val="18"/>
              </w:rPr>
              <w:t>Ostali nespomenuti rashodi poslovanja</w:t>
            </w:r>
          </w:p>
        </w:tc>
        <w:tc>
          <w:tcPr>
            <w:tcW w:w="700" w:type="dxa"/>
            <w:tcMar>
              <w:top w:w="0" w:type="dxa"/>
              <w:bottom w:w="0" w:type="dxa"/>
            </w:tcMar>
            <w:vAlign w:val="center"/>
          </w:tcPr>
          <w:p w:rsidR="0038099F" w:rsidRDefault="0019532F">
            <w:pPr>
              <w:keepNext/>
              <w:keepLines/>
              <w:spacing w:after="0" w:line="240" w:lineRule="auto"/>
            </w:pPr>
            <w:r>
              <w:rPr>
                <w:sz w:val="18"/>
              </w:rPr>
              <w:t>3299</w:t>
            </w:r>
          </w:p>
        </w:tc>
        <w:tc>
          <w:tcPr>
            <w:tcW w:w="1860" w:type="dxa"/>
            <w:tcMar>
              <w:top w:w="0" w:type="dxa"/>
              <w:bottom w:w="0" w:type="dxa"/>
            </w:tcMar>
            <w:vAlign w:val="center"/>
          </w:tcPr>
          <w:p w:rsidR="0038099F" w:rsidRDefault="0019532F">
            <w:pPr>
              <w:keepNext/>
              <w:keepLines/>
              <w:spacing w:after="0" w:line="240" w:lineRule="auto"/>
              <w:jc w:val="right"/>
            </w:pPr>
            <w:r>
              <w:rPr>
                <w:sz w:val="18"/>
              </w:rPr>
              <w:t>91.542,40</w:t>
            </w:r>
          </w:p>
        </w:tc>
        <w:tc>
          <w:tcPr>
            <w:tcW w:w="1860" w:type="dxa"/>
            <w:tcMar>
              <w:top w:w="0" w:type="dxa"/>
              <w:bottom w:w="0" w:type="dxa"/>
            </w:tcMar>
            <w:vAlign w:val="center"/>
          </w:tcPr>
          <w:p w:rsidR="0038099F" w:rsidRDefault="0019532F">
            <w:pPr>
              <w:keepNext/>
              <w:keepLines/>
              <w:spacing w:after="0" w:line="240" w:lineRule="auto"/>
              <w:jc w:val="right"/>
            </w:pPr>
            <w:r>
              <w:rPr>
                <w:sz w:val="18"/>
              </w:rPr>
              <w:t>5.625,48</w:t>
            </w:r>
          </w:p>
        </w:tc>
        <w:tc>
          <w:tcPr>
            <w:tcW w:w="700" w:type="dxa"/>
            <w:tcMar>
              <w:top w:w="0" w:type="dxa"/>
              <w:bottom w:w="0" w:type="dxa"/>
            </w:tcMar>
            <w:vAlign w:val="center"/>
          </w:tcPr>
          <w:p w:rsidR="0038099F" w:rsidRDefault="0019532F">
            <w:pPr>
              <w:keepNext/>
              <w:keepLines/>
              <w:spacing w:after="0" w:line="240" w:lineRule="auto"/>
              <w:jc w:val="right"/>
            </w:pPr>
            <w:r>
              <w:rPr>
                <w:sz w:val="18"/>
              </w:rPr>
              <w:t>6,1</w:t>
            </w:r>
          </w:p>
        </w:tc>
      </w:tr>
    </w:tbl>
    <w:p w:rsidR="0038099F" w:rsidRDefault="0038099F">
      <w:pPr>
        <w:spacing w:after="0"/>
      </w:pPr>
    </w:p>
    <w:p w:rsidR="0038099F" w:rsidRDefault="0019532F">
      <w:r>
        <w:t xml:space="preserve">Račun se protekle godine koristio kod prijenosa sredstava drugim partnerima u </w:t>
      </w:r>
      <w:proofErr w:type="spellStart"/>
      <w:r>
        <w:t>Erasmus</w:t>
      </w:r>
      <w:proofErr w:type="spellEnd"/>
      <w:r>
        <w:t xml:space="preserve"> projektima radi ugovorne obveze, u 2025. godine nije bilo takvih isplata.</w:t>
      </w:r>
    </w:p>
    <w:p w:rsidR="0038099F" w:rsidRDefault="0038099F"/>
    <w:p w:rsidR="0038099F" w:rsidRDefault="0019532F">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8099F">
        <w:tblPrEx>
          <w:tblCellMar>
            <w:top w:w="0" w:type="dxa"/>
            <w:bottom w:w="0" w:type="dxa"/>
          </w:tblCellMar>
        </w:tblPrEx>
        <w:trPr>
          <w:cantSplit/>
        </w:trPr>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 razdoblju prethodne</w:t>
            </w:r>
            <w:r>
              <w:rPr>
                <w:b/>
                <w:sz w:val="18"/>
              </w:rPr>
              <w:t xml:space="preserve"> godine</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Indeks (%)</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19532F">
            <w:pPr>
              <w:keepNext/>
              <w:keepLines/>
              <w:spacing w:after="0" w:line="240" w:lineRule="auto"/>
            </w:pPr>
            <w:r>
              <w:rPr>
                <w:sz w:val="18"/>
              </w:rPr>
              <w:t>37</w:t>
            </w:r>
          </w:p>
        </w:tc>
        <w:tc>
          <w:tcPr>
            <w:tcW w:w="3180" w:type="dxa"/>
            <w:tcMar>
              <w:top w:w="0" w:type="dxa"/>
              <w:bottom w:w="0" w:type="dxa"/>
            </w:tcMar>
            <w:vAlign w:val="center"/>
          </w:tcPr>
          <w:p w:rsidR="0038099F" w:rsidRDefault="0019532F">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rsidR="0038099F" w:rsidRDefault="0019532F">
            <w:pPr>
              <w:keepNext/>
              <w:keepLines/>
              <w:spacing w:after="0" w:line="240" w:lineRule="auto"/>
            </w:pPr>
            <w:r>
              <w:rPr>
                <w:sz w:val="18"/>
              </w:rPr>
              <w:t>37</w:t>
            </w:r>
          </w:p>
        </w:tc>
        <w:tc>
          <w:tcPr>
            <w:tcW w:w="1860" w:type="dxa"/>
            <w:tcMar>
              <w:top w:w="0" w:type="dxa"/>
              <w:bottom w:w="0" w:type="dxa"/>
            </w:tcMar>
            <w:vAlign w:val="center"/>
          </w:tcPr>
          <w:p w:rsidR="0038099F" w:rsidRDefault="0019532F">
            <w:pPr>
              <w:keepNext/>
              <w:keepLines/>
              <w:spacing w:after="0" w:line="240" w:lineRule="auto"/>
              <w:jc w:val="right"/>
            </w:pPr>
            <w:r>
              <w:rPr>
                <w:sz w:val="18"/>
              </w:rPr>
              <w:t>62.206,97</w:t>
            </w:r>
          </w:p>
        </w:tc>
        <w:tc>
          <w:tcPr>
            <w:tcW w:w="1860" w:type="dxa"/>
            <w:tcMar>
              <w:top w:w="0" w:type="dxa"/>
              <w:bottom w:w="0" w:type="dxa"/>
            </w:tcMar>
            <w:vAlign w:val="center"/>
          </w:tcPr>
          <w:p w:rsidR="0038099F" w:rsidRDefault="0019532F">
            <w:pPr>
              <w:keepNext/>
              <w:keepLines/>
              <w:spacing w:after="0" w:line="240" w:lineRule="auto"/>
              <w:jc w:val="right"/>
            </w:pPr>
            <w:r>
              <w:rPr>
                <w:sz w:val="18"/>
              </w:rPr>
              <w:t>71.276,12</w:t>
            </w:r>
          </w:p>
        </w:tc>
        <w:tc>
          <w:tcPr>
            <w:tcW w:w="700" w:type="dxa"/>
            <w:tcMar>
              <w:top w:w="0" w:type="dxa"/>
              <w:bottom w:w="0" w:type="dxa"/>
            </w:tcMar>
            <w:vAlign w:val="center"/>
          </w:tcPr>
          <w:p w:rsidR="0038099F" w:rsidRDefault="0019532F">
            <w:pPr>
              <w:keepNext/>
              <w:keepLines/>
              <w:spacing w:after="0" w:line="240" w:lineRule="auto"/>
              <w:jc w:val="right"/>
            </w:pPr>
            <w:r>
              <w:rPr>
                <w:sz w:val="18"/>
              </w:rPr>
              <w:t>114,6</w:t>
            </w:r>
          </w:p>
        </w:tc>
      </w:tr>
    </w:tbl>
    <w:p w:rsidR="0038099F" w:rsidRDefault="0038099F">
      <w:pPr>
        <w:spacing w:after="0"/>
      </w:pPr>
    </w:p>
    <w:p w:rsidR="0038099F" w:rsidRDefault="0019532F">
      <w:r>
        <w:t>Veća isplata za druge obrazovne materijale te nabava udžbenika potrebnih za novu školsku godinu.</w:t>
      </w:r>
    </w:p>
    <w:p w:rsidR="0038099F" w:rsidRDefault="0038099F"/>
    <w:p w:rsidR="0038099F" w:rsidRDefault="0019532F">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8099F">
        <w:tblPrEx>
          <w:tblCellMar>
            <w:top w:w="0" w:type="dxa"/>
            <w:bottom w:w="0" w:type="dxa"/>
          </w:tblCellMar>
        </w:tblPrEx>
        <w:trPr>
          <w:cantSplit/>
        </w:trPr>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Indeks</w:t>
            </w:r>
            <w:r>
              <w:rPr>
                <w:b/>
                <w:sz w:val="18"/>
              </w:rPr>
              <w:t xml:space="preserve"> (%)</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19532F">
            <w:pPr>
              <w:keepNext/>
              <w:keepLines/>
              <w:spacing w:after="0" w:line="240" w:lineRule="auto"/>
            </w:pPr>
            <w:r>
              <w:rPr>
                <w:sz w:val="18"/>
              </w:rPr>
              <w:t>92211</w:t>
            </w:r>
          </w:p>
        </w:tc>
        <w:tc>
          <w:tcPr>
            <w:tcW w:w="3180" w:type="dxa"/>
            <w:tcMar>
              <w:top w:w="0" w:type="dxa"/>
              <w:bottom w:w="0" w:type="dxa"/>
            </w:tcMar>
            <w:vAlign w:val="center"/>
          </w:tcPr>
          <w:p w:rsidR="0038099F" w:rsidRDefault="0019532F">
            <w:pPr>
              <w:keepNext/>
              <w:keepLines/>
              <w:spacing w:after="0" w:line="240" w:lineRule="auto"/>
            </w:pPr>
            <w:r>
              <w:rPr>
                <w:sz w:val="18"/>
              </w:rPr>
              <w:t>Višak prihoda poslovanja - preneseni</w:t>
            </w:r>
          </w:p>
        </w:tc>
        <w:tc>
          <w:tcPr>
            <w:tcW w:w="700" w:type="dxa"/>
            <w:tcMar>
              <w:top w:w="0" w:type="dxa"/>
              <w:bottom w:w="0" w:type="dxa"/>
            </w:tcMar>
            <w:vAlign w:val="center"/>
          </w:tcPr>
          <w:p w:rsidR="0038099F" w:rsidRDefault="0019532F">
            <w:pPr>
              <w:keepNext/>
              <w:keepLines/>
              <w:spacing w:after="0" w:line="240" w:lineRule="auto"/>
            </w:pPr>
            <w:r>
              <w:rPr>
                <w:sz w:val="18"/>
              </w:rPr>
              <w:t>92211</w:t>
            </w:r>
          </w:p>
        </w:tc>
        <w:tc>
          <w:tcPr>
            <w:tcW w:w="1860" w:type="dxa"/>
            <w:tcMar>
              <w:top w:w="0" w:type="dxa"/>
              <w:bottom w:w="0" w:type="dxa"/>
            </w:tcMar>
            <w:vAlign w:val="center"/>
          </w:tcPr>
          <w:p w:rsidR="0038099F" w:rsidRDefault="0019532F">
            <w:pPr>
              <w:keepNext/>
              <w:keepLines/>
              <w:spacing w:after="0" w:line="240" w:lineRule="auto"/>
              <w:jc w:val="right"/>
            </w:pPr>
            <w:r>
              <w:rPr>
                <w:sz w:val="18"/>
              </w:rPr>
              <w:t>101.555,08</w:t>
            </w:r>
          </w:p>
        </w:tc>
        <w:tc>
          <w:tcPr>
            <w:tcW w:w="1860" w:type="dxa"/>
            <w:tcMar>
              <w:top w:w="0" w:type="dxa"/>
              <w:bottom w:w="0" w:type="dxa"/>
            </w:tcMar>
            <w:vAlign w:val="center"/>
          </w:tcPr>
          <w:p w:rsidR="0038099F" w:rsidRDefault="0019532F">
            <w:pPr>
              <w:keepNext/>
              <w:keepLines/>
              <w:spacing w:after="0" w:line="240" w:lineRule="auto"/>
              <w:jc w:val="right"/>
            </w:pPr>
            <w:r>
              <w:rPr>
                <w:sz w:val="18"/>
              </w:rPr>
              <w:t>84.250,62</w:t>
            </w:r>
          </w:p>
        </w:tc>
        <w:tc>
          <w:tcPr>
            <w:tcW w:w="700" w:type="dxa"/>
            <w:tcMar>
              <w:top w:w="0" w:type="dxa"/>
              <w:bottom w:w="0" w:type="dxa"/>
            </w:tcMar>
            <w:vAlign w:val="center"/>
          </w:tcPr>
          <w:p w:rsidR="0038099F" w:rsidRDefault="0019532F">
            <w:pPr>
              <w:keepNext/>
              <w:keepLines/>
              <w:spacing w:after="0" w:line="240" w:lineRule="auto"/>
              <w:jc w:val="right"/>
            </w:pPr>
            <w:r>
              <w:rPr>
                <w:sz w:val="18"/>
              </w:rPr>
              <w:t>83,0</w:t>
            </w:r>
          </w:p>
        </w:tc>
      </w:tr>
    </w:tbl>
    <w:p w:rsidR="0038099F" w:rsidRDefault="0038099F">
      <w:pPr>
        <w:spacing w:after="0"/>
      </w:pPr>
    </w:p>
    <w:p w:rsidR="0038099F" w:rsidRDefault="0019532F">
      <w:r>
        <w:t>Na kraju izvještajnog razdoblja preneseni višak iznosi 84.250,62 eura te je smanjen u odnosu na prethodnu godinu sukladno novim pravilima knjiženja za EU sredstva.</w:t>
      </w:r>
    </w:p>
    <w:p w:rsidR="0038099F" w:rsidRDefault="0038099F"/>
    <w:p w:rsidR="0038099F" w:rsidRDefault="0019532F">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8099F">
        <w:tblPrEx>
          <w:tblCellMar>
            <w:top w:w="0" w:type="dxa"/>
            <w:bottom w:w="0" w:type="dxa"/>
          </w:tblCellMar>
        </w:tblPrEx>
        <w:trPr>
          <w:cantSplit/>
        </w:trPr>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Indeks (%)</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38099F">
            <w:pPr>
              <w:keepNext/>
              <w:keepLines/>
              <w:spacing w:after="0" w:line="240" w:lineRule="auto"/>
            </w:pPr>
          </w:p>
        </w:tc>
        <w:tc>
          <w:tcPr>
            <w:tcW w:w="3180" w:type="dxa"/>
            <w:tcMar>
              <w:top w:w="0" w:type="dxa"/>
              <w:bottom w:w="0" w:type="dxa"/>
            </w:tcMar>
            <w:vAlign w:val="center"/>
          </w:tcPr>
          <w:p w:rsidR="0038099F" w:rsidRDefault="0019532F">
            <w:pPr>
              <w:keepNext/>
              <w:keepLines/>
              <w:spacing w:after="0" w:line="240" w:lineRule="auto"/>
            </w:pPr>
            <w:r>
              <w:rPr>
                <w:sz w:val="18"/>
              </w:rPr>
              <w:t>UKUPAN MANJAK PRIHODA (šifre Y034-X067)</w:t>
            </w:r>
          </w:p>
        </w:tc>
        <w:tc>
          <w:tcPr>
            <w:tcW w:w="700" w:type="dxa"/>
            <w:tcMar>
              <w:top w:w="0" w:type="dxa"/>
              <w:bottom w:w="0" w:type="dxa"/>
            </w:tcMar>
            <w:vAlign w:val="center"/>
          </w:tcPr>
          <w:p w:rsidR="0038099F" w:rsidRDefault="0019532F">
            <w:pPr>
              <w:keepNext/>
              <w:keepLines/>
              <w:spacing w:after="0" w:line="240" w:lineRule="auto"/>
            </w:pPr>
            <w:r>
              <w:rPr>
                <w:sz w:val="18"/>
              </w:rPr>
              <w:t>Y004</w:t>
            </w:r>
          </w:p>
        </w:tc>
        <w:tc>
          <w:tcPr>
            <w:tcW w:w="1860" w:type="dxa"/>
            <w:tcMar>
              <w:top w:w="0" w:type="dxa"/>
              <w:bottom w:w="0" w:type="dxa"/>
            </w:tcMar>
            <w:vAlign w:val="center"/>
          </w:tcPr>
          <w:p w:rsidR="0038099F" w:rsidRDefault="0019532F">
            <w:pPr>
              <w:keepNext/>
              <w:keepLines/>
              <w:spacing w:after="0" w:line="240" w:lineRule="auto"/>
              <w:jc w:val="right"/>
            </w:pPr>
            <w:r>
              <w:rPr>
                <w:sz w:val="18"/>
              </w:rPr>
              <w:t>0,00</w:t>
            </w:r>
          </w:p>
        </w:tc>
        <w:tc>
          <w:tcPr>
            <w:tcW w:w="1860" w:type="dxa"/>
            <w:tcMar>
              <w:top w:w="0" w:type="dxa"/>
              <w:bottom w:w="0" w:type="dxa"/>
            </w:tcMar>
            <w:vAlign w:val="center"/>
          </w:tcPr>
          <w:p w:rsidR="0038099F" w:rsidRDefault="0019532F">
            <w:pPr>
              <w:keepNext/>
              <w:keepLines/>
              <w:spacing w:after="0" w:line="240" w:lineRule="auto"/>
              <w:jc w:val="right"/>
            </w:pPr>
            <w:r>
              <w:rPr>
                <w:sz w:val="18"/>
              </w:rPr>
              <w:t>217.707,53</w:t>
            </w:r>
          </w:p>
        </w:tc>
        <w:tc>
          <w:tcPr>
            <w:tcW w:w="700" w:type="dxa"/>
            <w:tcMar>
              <w:top w:w="0" w:type="dxa"/>
              <w:bottom w:w="0" w:type="dxa"/>
            </w:tcMar>
            <w:vAlign w:val="center"/>
          </w:tcPr>
          <w:p w:rsidR="0038099F" w:rsidRDefault="0019532F">
            <w:pPr>
              <w:keepNext/>
              <w:keepLines/>
              <w:spacing w:after="0" w:line="240" w:lineRule="auto"/>
              <w:jc w:val="right"/>
            </w:pPr>
            <w:r>
              <w:rPr>
                <w:sz w:val="18"/>
              </w:rPr>
              <w:t>-</w:t>
            </w:r>
          </w:p>
        </w:tc>
      </w:tr>
    </w:tbl>
    <w:p w:rsidR="0038099F" w:rsidRDefault="0038099F">
      <w:pPr>
        <w:spacing w:after="0"/>
      </w:pPr>
    </w:p>
    <w:p w:rsidR="0038099F" w:rsidRDefault="0019532F">
      <w:r>
        <w:t>Potraživanja za pomoći proračunskim korisnicima iz Ministarstva za plaće i materijalna prava za plaću prosinac 2025.</w:t>
      </w:r>
    </w:p>
    <w:p w:rsidR="0038099F" w:rsidRDefault="0038099F"/>
    <w:p w:rsidR="0038099F" w:rsidRDefault="0019532F">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8099F">
        <w:tblPrEx>
          <w:tblCellMar>
            <w:top w:w="0" w:type="dxa"/>
            <w:bottom w:w="0" w:type="dxa"/>
          </w:tblCellMar>
        </w:tblPrEx>
        <w:trPr>
          <w:cantSplit/>
        </w:trPr>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Ostvareno u izvještajnom razdoblju </w:t>
            </w:r>
            <w:r>
              <w:rPr>
                <w:b/>
                <w:sz w:val="18"/>
              </w:rPr>
              <w:t>tekuće godine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Indeks (%)</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19532F">
            <w:pPr>
              <w:keepNext/>
              <w:keepLines/>
              <w:spacing w:after="0" w:line="240" w:lineRule="auto"/>
            </w:pPr>
            <w:r>
              <w:rPr>
                <w:sz w:val="18"/>
              </w:rPr>
              <w:t>9221-9222</w:t>
            </w:r>
          </w:p>
        </w:tc>
        <w:tc>
          <w:tcPr>
            <w:tcW w:w="3180" w:type="dxa"/>
            <w:tcMar>
              <w:top w:w="0" w:type="dxa"/>
              <w:bottom w:w="0" w:type="dxa"/>
            </w:tcMar>
            <w:vAlign w:val="center"/>
          </w:tcPr>
          <w:p w:rsidR="0038099F" w:rsidRDefault="0019532F">
            <w:pPr>
              <w:keepNext/>
              <w:keepLines/>
              <w:spacing w:after="0" w:line="240" w:lineRule="auto"/>
            </w:pPr>
            <w:r>
              <w:rPr>
                <w:sz w:val="18"/>
              </w:rPr>
              <w:t>Višak prihoda i primitaka - preneseni (šifre '9221x,9222x VP' - '9221x,9222x MP' + 92213 - 92223)</w:t>
            </w:r>
          </w:p>
        </w:tc>
        <w:tc>
          <w:tcPr>
            <w:tcW w:w="700" w:type="dxa"/>
            <w:tcMar>
              <w:top w:w="0" w:type="dxa"/>
              <w:bottom w:w="0" w:type="dxa"/>
            </w:tcMar>
            <w:vAlign w:val="center"/>
          </w:tcPr>
          <w:p w:rsidR="0038099F" w:rsidRDefault="0019532F">
            <w:pPr>
              <w:keepNext/>
              <w:keepLines/>
              <w:spacing w:after="0" w:line="240" w:lineRule="auto"/>
            </w:pPr>
            <w:r>
              <w:rPr>
                <w:sz w:val="18"/>
              </w:rPr>
              <w:t>9221-9222</w:t>
            </w:r>
          </w:p>
        </w:tc>
        <w:tc>
          <w:tcPr>
            <w:tcW w:w="1860" w:type="dxa"/>
            <w:tcMar>
              <w:top w:w="0" w:type="dxa"/>
              <w:bottom w:w="0" w:type="dxa"/>
            </w:tcMar>
            <w:vAlign w:val="center"/>
          </w:tcPr>
          <w:p w:rsidR="0038099F" w:rsidRDefault="0019532F">
            <w:pPr>
              <w:keepNext/>
              <w:keepLines/>
              <w:spacing w:after="0" w:line="240" w:lineRule="auto"/>
              <w:jc w:val="right"/>
            </w:pPr>
            <w:r>
              <w:rPr>
                <w:sz w:val="18"/>
              </w:rPr>
              <w:t>101.555,08</w:t>
            </w:r>
          </w:p>
        </w:tc>
        <w:tc>
          <w:tcPr>
            <w:tcW w:w="1860" w:type="dxa"/>
            <w:tcMar>
              <w:top w:w="0" w:type="dxa"/>
              <w:bottom w:w="0" w:type="dxa"/>
            </w:tcMar>
            <w:vAlign w:val="center"/>
          </w:tcPr>
          <w:p w:rsidR="0038099F" w:rsidRDefault="0019532F">
            <w:pPr>
              <w:keepNext/>
              <w:keepLines/>
              <w:spacing w:after="0" w:line="240" w:lineRule="auto"/>
              <w:jc w:val="right"/>
            </w:pPr>
            <w:r>
              <w:rPr>
                <w:sz w:val="18"/>
              </w:rPr>
              <w:t>84.250,62</w:t>
            </w:r>
          </w:p>
        </w:tc>
        <w:tc>
          <w:tcPr>
            <w:tcW w:w="700" w:type="dxa"/>
            <w:tcMar>
              <w:top w:w="0" w:type="dxa"/>
              <w:bottom w:w="0" w:type="dxa"/>
            </w:tcMar>
            <w:vAlign w:val="center"/>
          </w:tcPr>
          <w:p w:rsidR="0038099F" w:rsidRDefault="0019532F">
            <w:pPr>
              <w:keepNext/>
              <w:keepLines/>
              <w:spacing w:after="0" w:line="240" w:lineRule="auto"/>
              <w:jc w:val="right"/>
            </w:pPr>
            <w:r>
              <w:rPr>
                <w:sz w:val="18"/>
              </w:rPr>
              <w:t>83,0</w:t>
            </w:r>
          </w:p>
        </w:tc>
      </w:tr>
    </w:tbl>
    <w:p w:rsidR="0038099F" w:rsidRDefault="0038099F">
      <w:pPr>
        <w:spacing w:after="0"/>
      </w:pPr>
    </w:p>
    <w:p w:rsidR="0038099F" w:rsidRDefault="0019532F">
      <w:r>
        <w:t>Smanjeni preneseni višak uslijed novog evidentiranja EU sredstava</w:t>
      </w:r>
    </w:p>
    <w:p w:rsidR="0038099F" w:rsidRDefault="0038099F"/>
    <w:p w:rsidR="0038099F" w:rsidRDefault="0019532F">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8099F">
        <w:tblPrEx>
          <w:tblCellMar>
            <w:top w:w="0" w:type="dxa"/>
            <w:bottom w:w="0" w:type="dxa"/>
          </w:tblCellMar>
        </w:tblPrEx>
        <w:trPr>
          <w:cantSplit/>
        </w:trPr>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Indeks (%)</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19532F">
            <w:pPr>
              <w:keepNext/>
              <w:keepLines/>
              <w:spacing w:after="0" w:line="240" w:lineRule="auto"/>
            </w:pPr>
            <w:r>
              <w:rPr>
                <w:sz w:val="18"/>
              </w:rPr>
              <w:t>31214</w:t>
            </w:r>
          </w:p>
        </w:tc>
        <w:tc>
          <w:tcPr>
            <w:tcW w:w="3180" w:type="dxa"/>
            <w:tcMar>
              <w:top w:w="0" w:type="dxa"/>
              <w:bottom w:w="0" w:type="dxa"/>
            </w:tcMar>
            <w:vAlign w:val="center"/>
          </w:tcPr>
          <w:p w:rsidR="0038099F" w:rsidRDefault="0019532F">
            <w:pPr>
              <w:keepNext/>
              <w:keepLines/>
              <w:spacing w:after="0" w:line="240" w:lineRule="auto"/>
            </w:pPr>
            <w:r>
              <w:rPr>
                <w:sz w:val="18"/>
              </w:rPr>
              <w:t>Otpremnine</w:t>
            </w:r>
          </w:p>
        </w:tc>
        <w:tc>
          <w:tcPr>
            <w:tcW w:w="700" w:type="dxa"/>
            <w:tcMar>
              <w:top w:w="0" w:type="dxa"/>
              <w:bottom w:w="0" w:type="dxa"/>
            </w:tcMar>
            <w:vAlign w:val="center"/>
          </w:tcPr>
          <w:p w:rsidR="0038099F" w:rsidRDefault="0019532F">
            <w:pPr>
              <w:keepNext/>
              <w:keepLines/>
              <w:spacing w:after="0" w:line="240" w:lineRule="auto"/>
            </w:pPr>
            <w:r>
              <w:rPr>
                <w:sz w:val="18"/>
              </w:rPr>
              <w:t>31214</w:t>
            </w:r>
          </w:p>
        </w:tc>
        <w:tc>
          <w:tcPr>
            <w:tcW w:w="1860" w:type="dxa"/>
            <w:tcMar>
              <w:top w:w="0" w:type="dxa"/>
              <w:bottom w:w="0" w:type="dxa"/>
            </w:tcMar>
            <w:vAlign w:val="center"/>
          </w:tcPr>
          <w:p w:rsidR="0038099F" w:rsidRDefault="0019532F">
            <w:pPr>
              <w:keepNext/>
              <w:keepLines/>
              <w:spacing w:after="0" w:line="240" w:lineRule="auto"/>
              <w:jc w:val="right"/>
            </w:pPr>
            <w:r>
              <w:rPr>
                <w:sz w:val="18"/>
              </w:rPr>
              <w:t>2.172,44</w:t>
            </w:r>
          </w:p>
        </w:tc>
        <w:tc>
          <w:tcPr>
            <w:tcW w:w="1860" w:type="dxa"/>
            <w:tcMar>
              <w:top w:w="0" w:type="dxa"/>
              <w:bottom w:w="0" w:type="dxa"/>
            </w:tcMar>
            <w:vAlign w:val="center"/>
          </w:tcPr>
          <w:p w:rsidR="0038099F" w:rsidRDefault="0019532F">
            <w:pPr>
              <w:keepNext/>
              <w:keepLines/>
              <w:spacing w:after="0" w:line="240" w:lineRule="auto"/>
              <w:jc w:val="right"/>
            </w:pPr>
            <w:r>
              <w:rPr>
                <w:sz w:val="18"/>
              </w:rPr>
              <w:t>6.418,56</w:t>
            </w:r>
          </w:p>
        </w:tc>
        <w:tc>
          <w:tcPr>
            <w:tcW w:w="700" w:type="dxa"/>
            <w:tcMar>
              <w:top w:w="0" w:type="dxa"/>
              <w:bottom w:w="0" w:type="dxa"/>
            </w:tcMar>
            <w:vAlign w:val="center"/>
          </w:tcPr>
          <w:p w:rsidR="0038099F" w:rsidRDefault="0019532F">
            <w:pPr>
              <w:keepNext/>
              <w:keepLines/>
              <w:spacing w:after="0" w:line="240" w:lineRule="auto"/>
              <w:jc w:val="right"/>
            </w:pPr>
            <w:r>
              <w:rPr>
                <w:sz w:val="18"/>
              </w:rPr>
              <w:t>295,5</w:t>
            </w:r>
          </w:p>
        </w:tc>
      </w:tr>
    </w:tbl>
    <w:p w:rsidR="0038099F" w:rsidRDefault="0038099F">
      <w:pPr>
        <w:spacing w:after="0"/>
      </w:pPr>
    </w:p>
    <w:p w:rsidR="0038099F" w:rsidRDefault="0019532F">
      <w:r>
        <w:t>U izvještajnom razdoblju povećan je broj odlazaka u mirovinu u odnosu na prethodnu godinu.</w:t>
      </w:r>
    </w:p>
    <w:p w:rsidR="0038099F" w:rsidRDefault="0038099F"/>
    <w:p w:rsidR="0038099F" w:rsidRDefault="0019532F">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8099F">
        <w:tblPrEx>
          <w:tblCellMar>
            <w:top w:w="0" w:type="dxa"/>
            <w:bottom w:w="0" w:type="dxa"/>
          </w:tblCellMar>
        </w:tblPrEx>
        <w:trPr>
          <w:cantSplit/>
        </w:trPr>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Indeks (%)</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19532F">
            <w:pPr>
              <w:keepNext/>
              <w:keepLines/>
              <w:spacing w:after="0" w:line="240" w:lineRule="auto"/>
            </w:pPr>
            <w:r>
              <w:rPr>
                <w:sz w:val="18"/>
              </w:rPr>
              <w:t>32351</w:t>
            </w:r>
          </w:p>
        </w:tc>
        <w:tc>
          <w:tcPr>
            <w:tcW w:w="3180" w:type="dxa"/>
            <w:tcMar>
              <w:top w:w="0" w:type="dxa"/>
              <w:bottom w:w="0" w:type="dxa"/>
            </w:tcMar>
            <w:vAlign w:val="center"/>
          </w:tcPr>
          <w:p w:rsidR="0038099F" w:rsidRDefault="0019532F">
            <w:pPr>
              <w:keepNext/>
              <w:keepLines/>
              <w:spacing w:after="0" w:line="240" w:lineRule="auto"/>
            </w:pPr>
            <w:r>
              <w:rPr>
                <w:sz w:val="18"/>
              </w:rPr>
              <w:t>Zakupnine za zemljišta</w:t>
            </w:r>
          </w:p>
        </w:tc>
        <w:tc>
          <w:tcPr>
            <w:tcW w:w="700" w:type="dxa"/>
            <w:tcMar>
              <w:top w:w="0" w:type="dxa"/>
              <w:bottom w:w="0" w:type="dxa"/>
            </w:tcMar>
            <w:vAlign w:val="center"/>
          </w:tcPr>
          <w:p w:rsidR="0038099F" w:rsidRDefault="0019532F">
            <w:pPr>
              <w:keepNext/>
              <w:keepLines/>
              <w:spacing w:after="0" w:line="240" w:lineRule="auto"/>
            </w:pPr>
            <w:r>
              <w:rPr>
                <w:sz w:val="18"/>
              </w:rPr>
              <w:t>32351</w:t>
            </w:r>
          </w:p>
        </w:tc>
        <w:tc>
          <w:tcPr>
            <w:tcW w:w="1860" w:type="dxa"/>
            <w:tcMar>
              <w:top w:w="0" w:type="dxa"/>
              <w:bottom w:w="0" w:type="dxa"/>
            </w:tcMar>
            <w:vAlign w:val="center"/>
          </w:tcPr>
          <w:p w:rsidR="0038099F" w:rsidRDefault="0019532F">
            <w:pPr>
              <w:keepNext/>
              <w:keepLines/>
              <w:spacing w:after="0" w:line="240" w:lineRule="auto"/>
              <w:jc w:val="right"/>
            </w:pPr>
            <w:r>
              <w:rPr>
                <w:sz w:val="18"/>
              </w:rPr>
              <w:t>3.806,05</w:t>
            </w:r>
          </w:p>
        </w:tc>
        <w:tc>
          <w:tcPr>
            <w:tcW w:w="1860" w:type="dxa"/>
            <w:tcMar>
              <w:top w:w="0" w:type="dxa"/>
              <w:bottom w:w="0" w:type="dxa"/>
            </w:tcMar>
            <w:vAlign w:val="center"/>
          </w:tcPr>
          <w:p w:rsidR="0038099F" w:rsidRDefault="0019532F">
            <w:pPr>
              <w:keepNext/>
              <w:keepLines/>
              <w:spacing w:after="0" w:line="240" w:lineRule="auto"/>
              <w:jc w:val="right"/>
            </w:pPr>
            <w:r>
              <w:rPr>
                <w:sz w:val="18"/>
              </w:rPr>
              <w:t>5.145,50</w:t>
            </w:r>
          </w:p>
        </w:tc>
        <w:tc>
          <w:tcPr>
            <w:tcW w:w="700" w:type="dxa"/>
            <w:tcMar>
              <w:top w:w="0" w:type="dxa"/>
              <w:bottom w:w="0" w:type="dxa"/>
            </w:tcMar>
            <w:vAlign w:val="center"/>
          </w:tcPr>
          <w:p w:rsidR="0038099F" w:rsidRDefault="0019532F">
            <w:pPr>
              <w:keepNext/>
              <w:keepLines/>
              <w:spacing w:after="0" w:line="240" w:lineRule="auto"/>
              <w:jc w:val="right"/>
            </w:pPr>
            <w:r>
              <w:rPr>
                <w:sz w:val="18"/>
              </w:rPr>
              <w:t>135,2</w:t>
            </w:r>
          </w:p>
        </w:tc>
      </w:tr>
    </w:tbl>
    <w:p w:rsidR="0038099F" w:rsidRDefault="0038099F">
      <w:pPr>
        <w:spacing w:after="0"/>
      </w:pPr>
    </w:p>
    <w:p w:rsidR="0038099F" w:rsidRDefault="0019532F">
      <w:r>
        <w:t>Na navedeni konto knjiženi su računi za najam opreme ( 32353)</w:t>
      </w:r>
    </w:p>
    <w:p w:rsidR="0038099F" w:rsidRDefault="0038099F"/>
    <w:p w:rsidR="0038099F" w:rsidRDefault="0019532F">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8099F">
        <w:tblPrEx>
          <w:tblCellMar>
            <w:top w:w="0" w:type="dxa"/>
            <w:bottom w:w="0" w:type="dxa"/>
          </w:tblCellMar>
        </w:tblPrEx>
        <w:trPr>
          <w:cantSplit/>
        </w:trPr>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Indeks (%)</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19532F">
            <w:pPr>
              <w:keepNext/>
              <w:keepLines/>
              <w:spacing w:after="0" w:line="240" w:lineRule="auto"/>
            </w:pPr>
            <w:r>
              <w:rPr>
                <w:sz w:val="18"/>
              </w:rPr>
              <w:t>32371</w:t>
            </w:r>
          </w:p>
        </w:tc>
        <w:tc>
          <w:tcPr>
            <w:tcW w:w="3180" w:type="dxa"/>
            <w:tcMar>
              <w:top w:w="0" w:type="dxa"/>
              <w:bottom w:w="0" w:type="dxa"/>
            </w:tcMar>
            <w:vAlign w:val="center"/>
          </w:tcPr>
          <w:p w:rsidR="0038099F" w:rsidRDefault="0019532F">
            <w:pPr>
              <w:keepNext/>
              <w:keepLines/>
              <w:spacing w:after="0" w:line="240" w:lineRule="auto"/>
            </w:pPr>
            <w:r>
              <w:rPr>
                <w:sz w:val="18"/>
              </w:rPr>
              <w:t>Autorski honorari</w:t>
            </w:r>
          </w:p>
        </w:tc>
        <w:tc>
          <w:tcPr>
            <w:tcW w:w="700" w:type="dxa"/>
            <w:tcMar>
              <w:top w:w="0" w:type="dxa"/>
              <w:bottom w:w="0" w:type="dxa"/>
            </w:tcMar>
            <w:vAlign w:val="center"/>
          </w:tcPr>
          <w:p w:rsidR="0038099F" w:rsidRDefault="0019532F">
            <w:pPr>
              <w:keepNext/>
              <w:keepLines/>
              <w:spacing w:after="0" w:line="240" w:lineRule="auto"/>
            </w:pPr>
            <w:r>
              <w:rPr>
                <w:sz w:val="18"/>
              </w:rPr>
              <w:t>32371</w:t>
            </w:r>
          </w:p>
        </w:tc>
        <w:tc>
          <w:tcPr>
            <w:tcW w:w="1860" w:type="dxa"/>
            <w:tcMar>
              <w:top w:w="0" w:type="dxa"/>
              <w:bottom w:w="0" w:type="dxa"/>
            </w:tcMar>
            <w:vAlign w:val="center"/>
          </w:tcPr>
          <w:p w:rsidR="0038099F" w:rsidRDefault="0019532F">
            <w:pPr>
              <w:keepNext/>
              <w:keepLines/>
              <w:spacing w:after="0" w:line="240" w:lineRule="auto"/>
              <w:jc w:val="right"/>
            </w:pPr>
            <w:r>
              <w:rPr>
                <w:sz w:val="18"/>
              </w:rPr>
              <w:t>8.675,43</w:t>
            </w:r>
          </w:p>
        </w:tc>
        <w:tc>
          <w:tcPr>
            <w:tcW w:w="1860" w:type="dxa"/>
            <w:tcMar>
              <w:top w:w="0" w:type="dxa"/>
              <w:bottom w:w="0" w:type="dxa"/>
            </w:tcMar>
            <w:vAlign w:val="center"/>
          </w:tcPr>
          <w:p w:rsidR="0038099F" w:rsidRDefault="0019532F">
            <w:pPr>
              <w:keepNext/>
              <w:keepLines/>
              <w:spacing w:after="0" w:line="240" w:lineRule="auto"/>
              <w:jc w:val="right"/>
            </w:pPr>
            <w:r>
              <w:rPr>
                <w:sz w:val="18"/>
              </w:rPr>
              <w:t>14.695,59</w:t>
            </w:r>
          </w:p>
        </w:tc>
        <w:tc>
          <w:tcPr>
            <w:tcW w:w="700" w:type="dxa"/>
            <w:tcMar>
              <w:top w:w="0" w:type="dxa"/>
              <w:bottom w:w="0" w:type="dxa"/>
            </w:tcMar>
            <w:vAlign w:val="center"/>
          </w:tcPr>
          <w:p w:rsidR="0038099F" w:rsidRDefault="0019532F">
            <w:pPr>
              <w:keepNext/>
              <w:keepLines/>
              <w:spacing w:after="0" w:line="240" w:lineRule="auto"/>
              <w:jc w:val="right"/>
            </w:pPr>
            <w:r>
              <w:rPr>
                <w:sz w:val="18"/>
              </w:rPr>
              <w:t>169,4</w:t>
            </w:r>
          </w:p>
        </w:tc>
      </w:tr>
    </w:tbl>
    <w:p w:rsidR="0038099F" w:rsidRDefault="0038099F">
      <w:pPr>
        <w:spacing w:after="0"/>
      </w:pPr>
    </w:p>
    <w:p w:rsidR="0038099F" w:rsidRDefault="0019532F">
      <w:r>
        <w:t>U odnosu na prethodnu godinu povećan je iznos za autorske honorare za 69,4% u 2025. godini temeljem sklopljenih Ugovora. </w:t>
      </w:r>
    </w:p>
    <w:p w:rsidR="0038099F" w:rsidRDefault="0038099F"/>
    <w:p w:rsidR="0038099F" w:rsidRDefault="0019532F">
      <w:pPr>
        <w:keepNext/>
        <w:spacing w:line="240" w:lineRule="auto"/>
        <w:jc w:val="center"/>
      </w:pPr>
      <w:r>
        <w:rPr>
          <w:b/>
          <w:sz w:val="28"/>
        </w:rPr>
        <w:t>Bilanca</w:t>
      </w:r>
    </w:p>
    <w:p w:rsidR="0038099F" w:rsidRDefault="0019532F">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8099F">
        <w:tblPrEx>
          <w:tblCellMar>
            <w:top w:w="0" w:type="dxa"/>
            <w:bottom w:w="0" w:type="dxa"/>
          </w:tblCellMar>
        </w:tblPrEx>
        <w:trPr>
          <w:cantSplit/>
        </w:trPr>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Indeks (%)</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19532F">
            <w:pPr>
              <w:keepNext/>
              <w:keepLines/>
              <w:spacing w:after="0" w:line="240" w:lineRule="auto"/>
            </w:pPr>
            <w:r>
              <w:rPr>
                <w:sz w:val="18"/>
              </w:rPr>
              <w:t>1636</w:t>
            </w:r>
          </w:p>
        </w:tc>
        <w:tc>
          <w:tcPr>
            <w:tcW w:w="3180" w:type="dxa"/>
            <w:tcMar>
              <w:top w:w="0" w:type="dxa"/>
              <w:bottom w:w="0" w:type="dxa"/>
            </w:tcMar>
            <w:vAlign w:val="center"/>
          </w:tcPr>
          <w:p w:rsidR="0038099F" w:rsidRDefault="0019532F">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rsidR="0038099F" w:rsidRDefault="0019532F">
            <w:pPr>
              <w:keepNext/>
              <w:keepLines/>
              <w:spacing w:after="0" w:line="240" w:lineRule="auto"/>
            </w:pPr>
            <w:r>
              <w:rPr>
                <w:sz w:val="18"/>
              </w:rPr>
              <w:t>1636</w:t>
            </w:r>
          </w:p>
        </w:tc>
        <w:tc>
          <w:tcPr>
            <w:tcW w:w="1860" w:type="dxa"/>
            <w:tcMar>
              <w:top w:w="0" w:type="dxa"/>
              <w:bottom w:w="0" w:type="dxa"/>
            </w:tcMar>
            <w:vAlign w:val="center"/>
          </w:tcPr>
          <w:p w:rsidR="0038099F" w:rsidRDefault="0019532F">
            <w:pPr>
              <w:keepNext/>
              <w:keepLines/>
              <w:spacing w:after="0" w:line="240" w:lineRule="auto"/>
              <w:jc w:val="right"/>
            </w:pPr>
            <w:r>
              <w:rPr>
                <w:sz w:val="18"/>
              </w:rPr>
              <w:t>0,00</w:t>
            </w:r>
          </w:p>
        </w:tc>
        <w:tc>
          <w:tcPr>
            <w:tcW w:w="1860" w:type="dxa"/>
            <w:tcMar>
              <w:top w:w="0" w:type="dxa"/>
              <w:bottom w:w="0" w:type="dxa"/>
            </w:tcMar>
            <w:vAlign w:val="center"/>
          </w:tcPr>
          <w:p w:rsidR="0038099F" w:rsidRDefault="0019532F">
            <w:pPr>
              <w:keepNext/>
              <w:keepLines/>
              <w:spacing w:after="0" w:line="240" w:lineRule="auto"/>
              <w:jc w:val="right"/>
            </w:pPr>
            <w:r>
              <w:rPr>
                <w:sz w:val="18"/>
              </w:rPr>
              <w:t>217.454,26</w:t>
            </w:r>
          </w:p>
        </w:tc>
        <w:tc>
          <w:tcPr>
            <w:tcW w:w="700" w:type="dxa"/>
            <w:tcMar>
              <w:top w:w="0" w:type="dxa"/>
              <w:bottom w:w="0" w:type="dxa"/>
            </w:tcMar>
            <w:vAlign w:val="center"/>
          </w:tcPr>
          <w:p w:rsidR="0038099F" w:rsidRDefault="0019532F">
            <w:pPr>
              <w:keepNext/>
              <w:keepLines/>
              <w:spacing w:after="0" w:line="240" w:lineRule="auto"/>
              <w:jc w:val="right"/>
            </w:pPr>
            <w:r>
              <w:rPr>
                <w:sz w:val="18"/>
              </w:rPr>
              <w:t>-</w:t>
            </w:r>
          </w:p>
        </w:tc>
      </w:tr>
    </w:tbl>
    <w:p w:rsidR="0038099F" w:rsidRDefault="0038099F">
      <w:pPr>
        <w:spacing w:after="0"/>
      </w:pPr>
    </w:p>
    <w:p w:rsidR="0038099F" w:rsidRDefault="0019532F">
      <w:r>
        <w:t>Potraživanja za obračunate a neisplaćene plaće zaposlenika za prosinac 2025.</w:t>
      </w:r>
    </w:p>
    <w:p w:rsidR="0038099F" w:rsidRDefault="0038099F"/>
    <w:p w:rsidR="0038099F" w:rsidRDefault="0019532F">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8099F">
        <w:tblPrEx>
          <w:tblCellMar>
            <w:top w:w="0" w:type="dxa"/>
            <w:bottom w:w="0" w:type="dxa"/>
          </w:tblCellMar>
        </w:tblPrEx>
        <w:trPr>
          <w:cantSplit/>
        </w:trPr>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Indeks (%)</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19532F">
            <w:pPr>
              <w:keepNext/>
              <w:keepLines/>
              <w:spacing w:after="0" w:line="240" w:lineRule="auto"/>
            </w:pPr>
            <w:r>
              <w:rPr>
                <w:sz w:val="18"/>
              </w:rPr>
              <w:t>1638</w:t>
            </w:r>
          </w:p>
        </w:tc>
        <w:tc>
          <w:tcPr>
            <w:tcW w:w="3180" w:type="dxa"/>
            <w:tcMar>
              <w:top w:w="0" w:type="dxa"/>
              <w:bottom w:w="0" w:type="dxa"/>
            </w:tcMar>
            <w:vAlign w:val="center"/>
          </w:tcPr>
          <w:p w:rsidR="0038099F" w:rsidRDefault="0019532F">
            <w:pPr>
              <w:keepNext/>
              <w:keepLines/>
              <w:spacing w:after="0" w:line="240" w:lineRule="auto"/>
            </w:pPr>
            <w:r>
              <w:rPr>
                <w:sz w:val="18"/>
              </w:rPr>
              <w:t>Potraživanja za pomoći temeljem prijenosa EU sredstava</w:t>
            </w:r>
          </w:p>
        </w:tc>
        <w:tc>
          <w:tcPr>
            <w:tcW w:w="700" w:type="dxa"/>
            <w:tcMar>
              <w:top w:w="0" w:type="dxa"/>
              <w:bottom w:w="0" w:type="dxa"/>
            </w:tcMar>
            <w:vAlign w:val="center"/>
          </w:tcPr>
          <w:p w:rsidR="0038099F" w:rsidRDefault="0019532F">
            <w:pPr>
              <w:keepNext/>
              <w:keepLines/>
              <w:spacing w:after="0" w:line="240" w:lineRule="auto"/>
            </w:pPr>
            <w:r>
              <w:rPr>
                <w:sz w:val="18"/>
              </w:rPr>
              <w:t>1638</w:t>
            </w:r>
          </w:p>
        </w:tc>
        <w:tc>
          <w:tcPr>
            <w:tcW w:w="1860" w:type="dxa"/>
            <w:tcMar>
              <w:top w:w="0" w:type="dxa"/>
              <w:bottom w:w="0" w:type="dxa"/>
            </w:tcMar>
            <w:vAlign w:val="center"/>
          </w:tcPr>
          <w:p w:rsidR="0038099F" w:rsidRDefault="0019532F">
            <w:pPr>
              <w:keepNext/>
              <w:keepLines/>
              <w:spacing w:after="0" w:line="240" w:lineRule="auto"/>
              <w:jc w:val="right"/>
            </w:pPr>
            <w:r>
              <w:rPr>
                <w:sz w:val="18"/>
              </w:rPr>
              <w:t>0,00</w:t>
            </w:r>
          </w:p>
        </w:tc>
        <w:tc>
          <w:tcPr>
            <w:tcW w:w="1860" w:type="dxa"/>
            <w:tcMar>
              <w:top w:w="0" w:type="dxa"/>
              <w:bottom w:w="0" w:type="dxa"/>
            </w:tcMar>
            <w:vAlign w:val="center"/>
          </w:tcPr>
          <w:p w:rsidR="0038099F" w:rsidRDefault="0019532F">
            <w:pPr>
              <w:keepNext/>
              <w:keepLines/>
              <w:spacing w:after="0" w:line="240" w:lineRule="auto"/>
              <w:jc w:val="right"/>
            </w:pPr>
            <w:r>
              <w:rPr>
                <w:sz w:val="18"/>
              </w:rPr>
              <w:t>215.726,00</w:t>
            </w:r>
          </w:p>
        </w:tc>
        <w:tc>
          <w:tcPr>
            <w:tcW w:w="700" w:type="dxa"/>
            <w:tcMar>
              <w:top w:w="0" w:type="dxa"/>
              <w:bottom w:w="0" w:type="dxa"/>
            </w:tcMar>
            <w:vAlign w:val="center"/>
          </w:tcPr>
          <w:p w:rsidR="0038099F" w:rsidRDefault="0019532F">
            <w:pPr>
              <w:keepNext/>
              <w:keepLines/>
              <w:spacing w:after="0" w:line="240" w:lineRule="auto"/>
              <w:jc w:val="right"/>
            </w:pPr>
            <w:r>
              <w:rPr>
                <w:sz w:val="18"/>
              </w:rPr>
              <w:t>-</w:t>
            </w:r>
          </w:p>
        </w:tc>
      </w:tr>
    </w:tbl>
    <w:p w:rsidR="0038099F" w:rsidRDefault="0038099F">
      <w:pPr>
        <w:spacing w:after="0"/>
      </w:pPr>
    </w:p>
    <w:p w:rsidR="0038099F" w:rsidRDefault="0019532F">
      <w:r>
        <w:t xml:space="preserve">Potraživanja po aktivnim Ugovorima za </w:t>
      </w:r>
      <w:proofErr w:type="spellStart"/>
      <w:r>
        <w:t>Erasmus</w:t>
      </w:r>
      <w:proofErr w:type="spellEnd"/>
      <w:r>
        <w:t xml:space="preserve"> projekte.</w:t>
      </w:r>
    </w:p>
    <w:p w:rsidR="0038099F" w:rsidRDefault="0038099F"/>
    <w:p w:rsidR="0038099F" w:rsidRDefault="0019532F">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8099F">
        <w:tblPrEx>
          <w:tblCellMar>
            <w:top w:w="0" w:type="dxa"/>
            <w:bottom w:w="0" w:type="dxa"/>
          </w:tblCellMar>
        </w:tblPrEx>
        <w:trPr>
          <w:cantSplit/>
        </w:trPr>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Indeks (%)</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19532F">
            <w:pPr>
              <w:keepNext/>
              <w:keepLines/>
              <w:spacing w:after="0" w:line="240" w:lineRule="auto"/>
            </w:pPr>
            <w:r>
              <w:rPr>
                <w:sz w:val="18"/>
              </w:rPr>
              <w:t>167</w:t>
            </w:r>
          </w:p>
        </w:tc>
        <w:tc>
          <w:tcPr>
            <w:tcW w:w="3180" w:type="dxa"/>
            <w:tcMar>
              <w:top w:w="0" w:type="dxa"/>
              <w:bottom w:w="0" w:type="dxa"/>
            </w:tcMar>
            <w:vAlign w:val="center"/>
          </w:tcPr>
          <w:p w:rsidR="0038099F" w:rsidRDefault="0019532F">
            <w:pPr>
              <w:keepNext/>
              <w:keepLines/>
              <w:spacing w:after="0" w:line="240" w:lineRule="auto"/>
            </w:pPr>
            <w:r>
              <w:rPr>
                <w:sz w:val="18"/>
              </w:rPr>
              <w:t>Potraživanja proračunskih korisnika za sredstva uplaćena u nadležni proračun i</w:t>
            </w:r>
            <w:r>
              <w:rPr>
                <w:sz w:val="18"/>
              </w:rPr>
              <w:t xml:space="preserve"> za prihode od HZZO-a na temelju ugovornih obveza</w:t>
            </w:r>
          </w:p>
        </w:tc>
        <w:tc>
          <w:tcPr>
            <w:tcW w:w="700" w:type="dxa"/>
            <w:tcMar>
              <w:top w:w="0" w:type="dxa"/>
              <w:bottom w:w="0" w:type="dxa"/>
            </w:tcMar>
            <w:vAlign w:val="center"/>
          </w:tcPr>
          <w:p w:rsidR="0038099F" w:rsidRDefault="0019532F">
            <w:pPr>
              <w:keepNext/>
              <w:keepLines/>
              <w:spacing w:after="0" w:line="240" w:lineRule="auto"/>
            </w:pPr>
            <w:r>
              <w:rPr>
                <w:sz w:val="18"/>
              </w:rPr>
              <w:t>167</w:t>
            </w:r>
          </w:p>
        </w:tc>
        <w:tc>
          <w:tcPr>
            <w:tcW w:w="1860" w:type="dxa"/>
            <w:tcMar>
              <w:top w:w="0" w:type="dxa"/>
              <w:bottom w:w="0" w:type="dxa"/>
            </w:tcMar>
            <w:vAlign w:val="center"/>
          </w:tcPr>
          <w:p w:rsidR="0038099F" w:rsidRDefault="0019532F">
            <w:pPr>
              <w:keepNext/>
              <w:keepLines/>
              <w:spacing w:after="0" w:line="240" w:lineRule="auto"/>
              <w:jc w:val="right"/>
            </w:pPr>
            <w:r>
              <w:rPr>
                <w:sz w:val="18"/>
              </w:rPr>
              <w:t>0,00</w:t>
            </w:r>
          </w:p>
        </w:tc>
        <w:tc>
          <w:tcPr>
            <w:tcW w:w="1860" w:type="dxa"/>
            <w:tcMar>
              <w:top w:w="0" w:type="dxa"/>
              <w:bottom w:w="0" w:type="dxa"/>
            </w:tcMar>
            <w:vAlign w:val="center"/>
          </w:tcPr>
          <w:p w:rsidR="0038099F" w:rsidRDefault="0019532F">
            <w:pPr>
              <w:keepNext/>
              <w:keepLines/>
              <w:spacing w:after="0" w:line="240" w:lineRule="auto"/>
              <w:jc w:val="right"/>
            </w:pPr>
            <w:r>
              <w:rPr>
                <w:sz w:val="18"/>
              </w:rPr>
              <w:t>159.210,31</w:t>
            </w:r>
          </w:p>
        </w:tc>
        <w:tc>
          <w:tcPr>
            <w:tcW w:w="700" w:type="dxa"/>
            <w:tcMar>
              <w:top w:w="0" w:type="dxa"/>
              <w:bottom w:w="0" w:type="dxa"/>
            </w:tcMar>
            <w:vAlign w:val="center"/>
          </w:tcPr>
          <w:p w:rsidR="0038099F" w:rsidRDefault="0019532F">
            <w:pPr>
              <w:keepNext/>
              <w:keepLines/>
              <w:spacing w:after="0" w:line="240" w:lineRule="auto"/>
              <w:jc w:val="right"/>
            </w:pPr>
            <w:r>
              <w:rPr>
                <w:sz w:val="18"/>
              </w:rPr>
              <w:t>-</w:t>
            </w:r>
          </w:p>
        </w:tc>
      </w:tr>
    </w:tbl>
    <w:p w:rsidR="0038099F" w:rsidRDefault="0038099F">
      <w:pPr>
        <w:spacing w:after="0"/>
      </w:pPr>
    </w:p>
    <w:p w:rsidR="0038099F" w:rsidRDefault="0019532F">
      <w:r>
        <w:t>Potraživanja za sredstva koja su sa računa škole krajem 2025. godine prebačena na račun Grada radi zatvaranja školskog računa i prelaska na Riznicu.</w:t>
      </w:r>
    </w:p>
    <w:p w:rsidR="0038099F" w:rsidRDefault="0038099F"/>
    <w:p w:rsidR="0038099F" w:rsidRDefault="0019532F">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8099F">
        <w:tblPrEx>
          <w:tblCellMar>
            <w:top w:w="0" w:type="dxa"/>
            <w:bottom w:w="0" w:type="dxa"/>
          </w:tblCellMar>
        </w:tblPrEx>
        <w:trPr>
          <w:cantSplit/>
        </w:trPr>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Indeks (%)</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19532F">
            <w:pPr>
              <w:keepNext/>
              <w:keepLines/>
              <w:spacing w:after="0" w:line="240" w:lineRule="auto"/>
            </w:pPr>
            <w:r>
              <w:rPr>
                <w:sz w:val="18"/>
              </w:rPr>
              <w:t>2</w:t>
            </w:r>
          </w:p>
        </w:tc>
        <w:tc>
          <w:tcPr>
            <w:tcW w:w="3180" w:type="dxa"/>
            <w:tcMar>
              <w:top w:w="0" w:type="dxa"/>
              <w:bottom w:w="0" w:type="dxa"/>
            </w:tcMar>
            <w:vAlign w:val="center"/>
          </w:tcPr>
          <w:p w:rsidR="0038099F" w:rsidRDefault="0019532F">
            <w:pPr>
              <w:keepNext/>
              <w:keepLines/>
              <w:spacing w:after="0" w:line="240" w:lineRule="auto"/>
            </w:pPr>
            <w:r>
              <w:rPr>
                <w:sz w:val="18"/>
              </w:rPr>
              <w:t>Obveze (šifre 23+24+25+26+27+29)</w:t>
            </w:r>
          </w:p>
        </w:tc>
        <w:tc>
          <w:tcPr>
            <w:tcW w:w="700" w:type="dxa"/>
            <w:tcMar>
              <w:top w:w="0" w:type="dxa"/>
              <w:bottom w:w="0" w:type="dxa"/>
            </w:tcMar>
            <w:vAlign w:val="center"/>
          </w:tcPr>
          <w:p w:rsidR="0038099F" w:rsidRDefault="0019532F">
            <w:pPr>
              <w:keepNext/>
              <w:keepLines/>
              <w:spacing w:after="0" w:line="240" w:lineRule="auto"/>
            </w:pPr>
            <w:r>
              <w:rPr>
                <w:sz w:val="18"/>
              </w:rPr>
              <w:t>2</w:t>
            </w:r>
          </w:p>
        </w:tc>
        <w:tc>
          <w:tcPr>
            <w:tcW w:w="1860" w:type="dxa"/>
            <w:tcMar>
              <w:top w:w="0" w:type="dxa"/>
              <w:bottom w:w="0" w:type="dxa"/>
            </w:tcMar>
            <w:vAlign w:val="center"/>
          </w:tcPr>
          <w:p w:rsidR="0038099F" w:rsidRDefault="0019532F">
            <w:pPr>
              <w:keepNext/>
              <w:keepLines/>
              <w:spacing w:after="0" w:line="240" w:lineRule="auto"/>
              <w:jc w:val="right"/>
            </w:pPr>
            <w:r>
              <w:rPr>
                <w:sz w:val="18"/>
              </w:rPr>
              <w:t>238.639,00</w:t>
            </w:r>
          </w:p>
        </w:tc>
        <w:tc>
          <w:tcPr>
            <w:tcW w:w="1860" w:type="dxa"/>
            <w:tcMar>
              <w:top w:w="0" w:type="dxa"/>
              <w:bottom w:w="0" w:type="dxa"/>
            </w:tcMar>
            <w:vAlign w:val="center"/>
          </w:tcPr>
          <w:p w:rsidR="0038099F" w:rsidRDefault="0019532F">
            <w:pPr>
              <w:keepNext/>
              <w:keepLines/>
              <w:spacing w:after="0" w:line="240" w:lineRule="auto"/>
              <w:jc w:val="right"/>
            </w:pPr>
            <w:r>
              <w:rPr>
                <w:sz w:val="18"/>
              </w:rPr>
              <w:t>266.332,50</w:t>
            </w:r>
          </w:p>
        </w:tc>
        <w:tc>
          <w:tcPr>
            <w:tcW w:w="700" w:type="dxa"/>
            <w:tcMar>
              <w:top w:w="0" w:type="dxa"/>
              <w:bottom w:w="0" w:type="dxa"/>
            </w:tcMar>
            <w:vAlign w:val="center"/>
          </w:tcPr>
          <w:p w:rsidR="0038099F" w:rsidRDefault="0019532F">
            <w:pPr>
              <w:keepNext/>
              <w:keepLines/>
              <w:spacing w:after="0" w:line="240" w:lineRule="auto"/>
              <w:jc w:val="right"/>
            </w:pPr>
            <w:r>
              <w:rPr>
                <w:sz w:val="18"/>
              </w:rPr>
              <w:t>111,6</w:t>
            </w:r>
          </w:p>
        </w:tc>
      </w:tr>
    </w:tbl>
    <w:p w:rsidR="0038099F" w:rsidRDefault="0038099F">
      <w:pPr>
        <w:spacing w:after="0"/>
      </w:pPr>
    </w:p>
    <w:p w:rsidR="0038099F" w:rsidRDefault="0019532F">
      <w:r>
        <w:t>Stanje dospjelih obveza na kraju izvještajnog razdoblja iznosi 266.332,50 eura a odnosi se na rashode poslovanja (obveze za plaće za prosinac a manji dio na obveze za materijalne rashode sa dospijećem u siječnju).</w:t>
      </w:r>
    </w:p>
    <w:p w:rsidR="0038099F" w:rsidRDefault="0038099F"/>
    <w:p w:rsidR="0038099F" w:rsidRDefault="0019532F">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8099F">
        <w:tblPrEx>
          <w:tblCellMar>
            <w:top w:w="0" w:type="dxa"/>
            <w:bottom w:w="0" w:type="dxa"/>
          </w:tblCellMar>
        </w:tblPrEx>
        <w:trPr>
          <w:cantSplit/>
        </w:trPr>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Opis sta</w:t>
            </w:r>
            <w:r>
              <w:rPr>
                <w:b/>
                <w:sz w:val="18"/>
              </w:rPr>
              <w:t>vke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Indeks (%)</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19532F">
            <w:pPr>
              <w:keepNext/>
              <w:keepLines/>
              <w:spacing w:after="0" w:line="240" w:lineRule="auto"/>
            </w:pPr>
            <w:r>
              <w:rPr>
                <w:sz w:val="18"/>
              </w:rPr>
              <w:t>922</w:t>
            </w:r>
          </w:p>
        </w:tc>
        <w:tc>
          <w:tcPr>
            <w:tcW w:w="3180" w:type="dxa"/>
            <w:tcMar>
              <w:top w:w="0" w:type="dxa"/>
              <w:bottom w:w="0" w:type="dxa"/>
            </w:tcMar>
            <w:vAlign w:val="center"/>
          </w:tcPr>
          <w:p w:rsidR="0038099F" w:rsidRDefault="0019532F">
            <w:pPr>
              <w:keepNext/>
              <w:keepLines/>
              <w:spacing w:after="0" w:line="240" w:lineRule="auto"/>
            </w:pPr>
            <w:r>
              <w:rPr>
                <w:sz w:val="18"/>
              </w:rPr>
              <w:t>Rezultat - višak/manjak (šifre 9221-9222)</w:t>
            </w:r>
          </w:p>
        </w:tc>
        <w:tc>
          <w:tcPr>
            <w:tcW w:w="700" w:type="dxa"/>
            <w:tcMar>
              <w:top w:w="0" w:type="dxa"/>
              <w:bottom w:w="0" w:type="dxa"/>
            </w:tcMar>
            <w:vAlign w:val="center"/>
          </w:tcPr>
          <w:p w:rsidR="0038099F" w:rsidRDefault="0019532F">
            <w:pPr>
              <w:keepNext/>
              <w:keepLines/>
              <w:spacing w:after="0" w:line="240" w:lineRule="auto"/>
            </w:pPr>
            <w:r>
              <w:rPr>
                <w:sz w:val="18"/>
              </w:rPr>
              <w:t>922</w:t>
            </w:r>
          </w:p>
        </w:tc>
        <w:tc>
          <w:tcPr>
            <w:tcW w:w="1860" w:type="dxa"/>
            <w:tcMar>
              <w:top w:w="0" w:type="dxa"/>
              <w:bottom w:w="0" w:type="dxa"/>
            </w:tcMar>
            <w:vAlign w:val="center"/>
          </w:tcPr>
          <w:p w:rsidR="0038099F" w:rsidRDefault="0019532F">
            <w:pPr>
              <w:keepNext/>
              <w:keepLines/>
              <w:spacing w:after="0" w:line="240" w:lineRule="auto"/>
              <w:jc w:val="right"/>
            </w:pPr>
            <w:r>
              <w:rPr>
                <w:sz w:val="18"/>
              </w:rPr>
              <w:t>149.144,74</w:t>
            </w:r>
          </w:p>
        </w:tc>
        <w:tc>
          <w:tcPr>
            <w:tcW w:w="1860" w:type="dxa"/>
            <w:tcMar>
              <w:top w:w="0" w:type="dxa"/>
              <w:bottom w:w="0" w:type="dxa"/>
            </w:tcMar>
            <w:vAlign w:val="center"/>
          </w:tcPr>
          <w:p w:rsidR="0038099F" w:rsidRDefault="0019532F">
            <w:pPr>
              <w:keepNext/>
              <w:keepLines/>
              <w:spacing w:after="0" w:line="240" w:lineRule="auto"/>
              <w:jc w:val="right"/>
            </w:pPr>
            <w:r>
              <w:rPr>
                <w:sz w:val="18"/>
              </w:rPr>
              <w:t>-133.456,91</w:t>
            </w:r>
          </w:p>
        </w:tc>
        <w:tc>
          <w:tcPr>
            <w:tcW w:w="700" w:type="dxa"/>
            <w:tcMar>
              <w:top w:w="0" w:type="dxa"/>
              <w:bottom w:w="0" w:type="dxa"/>
            </w:tcMar>
            <w:vAlign w:val="center"/>
          </w:tcPr>
          <w:p w:rsidR="0038099F" w:rsidRDefault="0019532F">
            <w:pPr>
              <w:keepNext/>
              <w:keepLines/>
              <w:spacing w:after="0" w:line="240" w:lineRule="auto"/>
              <w:jc w:val="right"/>
            </w:pPr>
            <w:r>
              <w:rPr>
                <w:sz w:val="18"/>
              </w:rPr>
              <w:t>-89,5</w:t>
            </w:r>
          </w:p>
        </w:tc>
      </w:tr>
    </w:tbl>
    <w:p w:rsidR="0038099F" w:rsidRDefault="0038099F">
      <w:pPr>
        <w:spacing w:after="0"/>
      </w:pPr>
    </w:p>
    <w:p w:rsidR="0038099F" w:rsidRDefault="0019532F">
      <w:r>
        <w:t xml:space="preserve">Rashodi poslovanja u 2025. godini iznose 3.708.124,68 eura što je za 18% više u odnosu na </w:t>
      </w:r>
      <w:proofErr w:type="spellStart"/>
      <w:r>
        <w:t>predhodnu</w:t>
      </w:r>
      <w:proofErr w:type="spellEnd"/>
      <w:r>
        <w:t xml:space="preserve"> godinu. Razlog povećanja rashoda odnosi se na nova zapošljavanja, na povećanje plaća i materijalnih prava zaposlenika u 2025. godini a povećanje rashoda od </w:t>
      </w:r>
      <w:r>
        <w:t>9% odnosi se na rashode za materijal i energiju uslijed rasta cijena.</w:t>
      </w:r>
    </w:p>
    <w:p w:rsidR="0038099F" w:rsidRDefault="0019532F">
      <w:r>
        <w:t>Manjak prihoda poslovanja od nefinancijske imovine iznosi 28.975,82 eura što se odnosi na nabavu novih udžbenika za učenike a manjak financijske imovine od 188.731,71 eura se odnosi pove</w:t>
      </w:r>
      <w:r>
        <w:t>ćane rashode knjiženje 13. plaće u 2025. godini.</w:t>
      </w:r>
    </w:p>
    <w:p w:rsidR="0038099F" w:rsidRDefault="0019532F">
      <w:r>
        <w:t>Kumulirani višak na kraju izvještajnog razdoblja iznosi 84.250,62 te je smanjen radi novih pravila knjiženja za EU sredstva.</w:t>
      </w:r>
    </w:p>
    <w:p w:rsidR="0038099F" w:rsidRDefault="0019532F">
      <w:r>
        <w:t>Slijedom navedenog, ukupni rezultat poslovanja za tekuće izvještajno razdoblje izn</w:t>
      </w:r>
      <w:r>
        <w:t>osi manjak od 133.456,91 eura.</w:t>
      </w:r>
    </w:p>
    <w:p w:rsidR="0038099F" w:rsidRDefault="0038099F"/>
    <w:p w:rsidR="0038099F" w:rsidRDefault="0019532F">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8099F">
        <w:tblPrEx>
          <w:tblCellMar>
            <w:top w:w="0" w:type="dxa"/>
            <w:bottom w:w="0" w:type="dxa"/>
          </w:tblCellMar>
        </w:tblPrEx>
        <w:trPr>
          <w:cantSplit/>
        </w:trPr>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Indeks (%)</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19532F">
            <w:pPr>
              <w:keepNext/>
              <w:keepLines/>
              <w:spacing w:after="0" w:line="240" w:lineRule="auto"/>
            </w:pPr>
            <w:r>
              <w:rPr>
                <w:sz w:val="18"/>
              </w:rPr>
              <w:t>92224</w:t>
            </w:r>
          </w:p>
        </w:tc>
        <w:tc>
          <w:tcPr>
            <w:tcW w:w="3180" w:type="dxa"/>
            <w:tcMar>
              <w:top w:w="0" w:type="dxa"/>
              <w:bottom w:w="0" w:type="dxa"/>
            </w:tcMar>
            <w:vAlign w:val="center"/>
          </w:tcPr>
          <w:p w:rsidR="0038099F" w:rsidRDefault="0019532F">
            <w:pPr>
              <w:keepNext/>
              <w:keepLines/>
              <w:spacing w:after="0" w:line="240" w:lineRule="auto"/>
            </w:pPr>
            <w:r>
              <w:rPr>
                <w:sz w:val="18"/>
              </w:rPr>
              <w:t>Manjak prihoda poslovanja - ispravci iz prethodnih razdoblja</w:t>
            </w:r>
          </w:p>
        </w:tc>
        <w:tc>
          <w:tcPr>
            <w:tcW w:w="700" w:type="dxa"/>
            <w:tcMar>
              <w:top w:w="0" w:type="dxa"/>
              <w:bottom w:w="0" w:type="dxa"/>
            </w:tcMar>
            <w:vAlign w:val="center"/>
          </w:tcPr>
          <w:p w:rsidR="0038099F" w:rsidRDefault="0019532F">
            <w:pPr>
              <w:keepNext/>
              <w:keepLines/>
              <w:spacing w:after="0" w:line="240" w:lineRule="auto"/>
            </w:pPr>
            <w:r>
              <w:rPr>
                <w:sz w:val="18"/>
              </w:rPr>
              <w:t>92224</w:t>
            </w:r>
          </w:p>
        </w:tc>
        <w:tc>
          <w:tcPr>
            <w:tcW w:w="1860" w:type="dxa"/>
            <w:tcMar>
              <w:top w:w="0" w:type="dxa"/>
              <w:bottom w:w="0" w:type="dxa"/>
            </w:tcMar>
            <w:vAlign w:val="center"/>
          </w:tcPr>
          <w:p w:rsidR="0038099F" w:rsidRDefault="0019532F">
            <w:pPr>
              <w:keepNext/>
              <w:keepLines/>
              <w:spacing w:after="0" w:line="240" w:lineRule="auto"/>
              <w:jc w:val="right"/>
            </w:pPr>
            <w:r>
              <w:rPr>
                <w:sz w:val="18"/>
              </w:rPr>
              <w:t>0,00</w:t>
            </w:r>
          </w:p>
        </w:tc>
        <w:tc>
          <w:tcPr>
            <w:tcW w:w="1860" w:type="dxa"/>
            <w:tcMar>
              <w:top w:w="0" w:type="dxa"/>
              <w:bottom w:w="0" w:type="dxa"/>
            </w:tcMar>
            <w:vAlign w:val="center"/>
          </w:tcPr>
          <w:p w:rsidR="0038099F" w:rsidRDefault="0019532F">
            <w:pPr>
              <w:keepNext/>
              <w:keepLines/>
              <w:spacing w:after="0" w:line="240" w:lineRule="auto"/>
              <w:jc w:val="right"/>
            </w:pPr>
            <w:r>
              <w:rPr>
                <w:sz w:val="18"/>
              </w:rPr>
              <w:t>67.730,74</w:t>
            </w:r>
          </w:p>
        </w:tc>
        <w:tc>
          <w:tcPr>
            <w:tcW w:w="700" w:type="dxa"/>
            <w:tcMar>
              <w:top w:w="0" w:type="dxa"/>
              <w:bottom w:w="0" w:type="dxa"/>
            </w:tcMar>
            <w:vAlign w:val="center"/>
          </w:tcPr>
          <w:p w:rsidR="0038099F" w:rsidRDefault="0019532F">
            <w:pPr>
              <w:keepNext/>
              <w:keepLines/>
              <w:spacing w:after="0" w:line="240" w:lineRule="auto"/>
              <w:jc w:val="right"/>
            </w:pPr>
            <w:r>
              <w:rPr>
                <w:sz w:val="18"/>
              </w:rPr>
              <w:t>-</w:t>
            </w:r>
          </w:p>
        </w:tc>
      </w:tr>
    </w:tbl>
    <w:p w:rsidR="0038099F" w:rsidRDefault="0038099F">
      <w:pPr>
        <w:spacing w:after="0"/>
      </w:pPr>
    </w:p>
    <w:p w:rsidR="0038099F" w:rsidRDefault="0019532F">
      <w:r>
        <w:t>Temeljem novog evidentiranja EU sredstava u ovom izvještajnom razdoblju je smanjen preneseni višak protekle godine.</w:t>
      </w:r>
    </w:p>
    <w:p w:rsidR="0038099F" w:rsidRDefault="0038099F"/>
    <w:p w:rsidR="0038099F" w:rsidRDefault="0019532F">
      <w:pPr>
        <w:keepNext/>
        <w:spacing w:line="240" w:lineRule="auto"/>
        <w:jc w:val="center"/>
      </w:pPr>
      <w:r>
        <w:rPr>
          <w:b/>
          <w:sz w:val="28"/>
        </w:rPr>
        <w:lastRenderedPageBreak/>
        <w:t>Izvještaj o obvezama</w:t>
      </w:r>
    </w:p>
    <w:p w:rsidR="0038099F" w:rsidRDefault="0019532F">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8099F">
        <w:tblPrEx>
          <w:tblCellMar>
            <w:top w:w="0" w:type="dxa"/>
            <w:bottom w:w="0" w:type="dxa"/>
          </w:tblCellMar>
        </w:tblPrEx>
        <w:trPr>
          <w:cantSplit/>
        </w:trPr>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38099F" w:rsidRDefault="0019532F">
            <w:pPr>
              <w:keepNext/>
              <w:keepLines/>
              <w:spacing w:after="0" w:line="240" w:lineRule="auto"/>
              <w:jc w:val="center"/>
            </w:pPr>
            <w:r>
              <w:rPr>
                <w:b/>
                <w:sz w:val="18"/>
              </w:rPr>
              <w:t>Indeks (%)</w:t>
            </w:r>
          </w:p>
        </w:tc>
      </w:tr>
      <w:tr w:rsidR="0038099F">
        <w:tblPrEx>
          <w:tblCellMar>
            <w:top w:w="0" w:type="dxa"/>
            <w:bottom w:w="0" w:type="dxa"/>
          </w:tblCellMar>
        </w:tblPrEx>
        <w:trPr>
          <w:cantSplit/>
          <w:trHeight w:val="560"/>
        </w:trPr>
        <w:tc>
          <w:tcPr>
            <w:tcW w:w="700" w:type="dxa"/>
            <w:tcMar>
              <w:top w:w="0" w:type="dxa"/>
              <w:bottom w:w="0" w:type="dxa"/>
            </w:tcMar>
            <w:vAlign w:val="center"/>
          </w:tcPr>
          <w:p w:rsidR="0038099F" w:rsidRDefault="0038099F">
            <w:pPr>
              <w:keepNext/>
              <w:keepLines/>
              <w:spacing w:after="0" w:line="240" w:lineRule="auto"/>
            </w:pPr>
          </w:p>
        </w:tc>
        <w:tc>
          <w:tcPr>
            <w:tcW w:w="3180" w:type="dxa"/>
            <w:tcMar>
              <w:top w:w="0" w:type="dxa"/>
              <w:bottom w:w="0" w:type="dxa"/>
            </w:tcMar>
            <w:vAlign w:val="center"/>
          </w:tcPr>
          <w:p w:rsidR="0038099F" w:rsidRDefault="0019532F">
            <w:pPr>
              <w:keepNext/>
              <w:keepLines/>
              <w:spacing w:after="0" w:line="240" w:lineRule="auto"/>
            </w:pPr>
            <w:r>
              <w:rPr>
                <w:sz w:val="18"/>
              </w:rPr>
              <w:t xml:space="preserve">Stanje dospjelih obveza na kraju izvještajnog </w:t>
            </w:r>
            <w:r>
              <w:rPr>
                <w:sz w:val="18"/>
              </w:rPr>
              <w:t>razdoblja (šifre V008+D23+D24 + 'D dio 25,26' + D27)</w:t>
            </w:r>
          </w:p>
        </w:tc>
        <w:tc>
          <w:tcPr>
            <w:tcW w:w="700" w:type="dxa"/>
            <w:tcMar>
              <w:top w:w="0" w:type="dxa"/>
              <w:bottom w:w="0" w:type="dxa"/>
            </w:tcMar>
            <w:vAlign w:val="center"/>
          </w:tcPr>
          <w:p w:rsidR="0038099F" w:rsidRDefault="0019532F">
            <w:pPr>
              <w:keepNext/>
              <w:keepLines/>
              <w:spacing w:after="0" w:line="240" w:lineRule="auto"/>
            </w:pPr>
            <w:r>
              <w:rPr>
                <w:sz w:val="18"/>
              </w:rPr>
              <w:t>V007</w:t>
            </w:r>
          </w:p>
        </w:tc>
        <w:tc>
          <w:tcPr>
            <w:tcW w:w="1860" w:type="dxa"/>
            <w:tcMar>
              <w:top w:w="0" w:type="dxa"/>
              <w:bottom w:w="0" w:type="dxa"/>
            </w:tcMar>
            <w:vAlign w:val="center"/>
          </w:tcPr>
          <w:p w:rsidR="0038099F" w:rsidRDefault="0019532F">
            <w:pPr>
              <w:keepNext/>
              <w:keepLines/>
              <w:spacing w:after="0" w:line="240" w:lineRule="auto"/>
              <w:jc w:val="right"/>
            </w:pPr>
            <w:r>
              <w:rPr>
                <w:sz w:val="18"/>
              </w:rPr>
              <w:t>0,00</w:t>
            </w:r>
          </w:p>
        </w:tc>
        <w:tc>
          <w:tcPr>
            <w:tcW w:w="700" w:type="dxa"/>
            <w:tcMar>
              <w:top w:w="0" w:type="dxa"/>
              <w:bottom w:w="0" w:type="dxa"/>
            </w:tcMar>
            <w:vAlign w:val="center"/>
          </w:tcPr>
          <w:p w:rsidR="0038099F" w:rsidRDefault="0019532F">
            <w:pPr>
              <w:keepNext/>
              <w:keepLines/>
              <w:spacing w:after="0" w:line="240" w:lineRule="auto"/>
              <w:jc w:val="right"/>
            </w:pPr>
            <w:r>
              <w:rPr>
                <w:sz w:val="18"/>
              </w:rPr>
              <w:t>-</w:t>
            </w:r>
          </w:p>
        </w:tc>
      </w:tr>
    </w:tbl>
    <w:p w:rsidR="0038099F" w:rsidRDefault="0038099F">
      <w:pPr>
        <w:spacing w:after="0"/>
      </w:pPr>
    </w:p>
    <w:p w:rsidR="0038099F" w:rsidRDefault="0019532F">
      <w:r>
        <w:t>Nema dospjelih obveza na kraju izvještajnog razdoblja budući da su sve obveze podmirene na vrijeme.</w:t>
      </w:r>
    </w:p>
    <w:p w:rsidR="0038099F" w:rsidRDefault="0038099F"/>
    <w:p w:rsidR="0038099F" w:rsidRDefault="0019532F">
      <w:pPr>
        <w:keepNext/>
        <w:spacing w:line="240" w:lineRule="auto"/>
        <w:jc w:val="center"/>
      </w:pPr>
      <w:r>
        <w:rPr>
          <w:sz w:val="28"/>
        </w:rPr>
        <w:t>Bilješka 25.</w:t>
      </w:r>
    </w:p>
    <w:p w:rsidR="0038099F" w:rsidRDefault="0019532F">
      <w:pPr>
        <w:spacing w:line="240" w:lineRule="auto"/>
        <w:jc w:val="both"/>
      </w:pPr>
      <w:r>
        <w:rPr>
          <w:b/>
        </w:rPr>
        <w:t>EU izvještaj</w:t>
      </w:r>
    </w:p>
    <w:p w:rsidR="0038099F" w:rsidRDefault="0019532F">
      <w:r>
        <w:t xml:space="preserve">I. osnovna škola Čakovec aktivno </w:t>
      </w:r>
      <w:proofErr w:type="spellStart"/>
      <w:r>
        <w:t>sudjeljuje</w:t>
      </w:r>
      <w:proofErr w:type="spellEnd"/>
      <w:r>
        <w:t xml:space="preserve"> u provođenju </w:t>
      </w:r>
      <w:proofErr w:type="spellStart"/>
      <w:r>
        <w:t>Erasmus</w:t>
      </w:r>
      <w:proofErr w:type="spellEnd"/>
      <w:r>
        <w:t xml:space="preserve">+ projekata (KA1) i </w:t>
      </w:r>
      <w:proofErr w:type="spellStart"/>
      <w:r>
        <w:t>Erasmus</w:t>
      </w:r>
      <w:proofErr w:type="spellEnd"/>
      <w:r>
        <w:t>+ međunarodnih projekata (KA2).</w:t>
      </w:r>
    </w:p>
    <w:p w:rsidR="0038099F" w:rsidRDefault="0019532F">
      <w:pPr>
        <w:pStyle w:val="Odlomakpopisa"/>
        <w:numPr>
          <w:ilvl w:val="0"/>
          <w:numId w:val="1"/>
        </w:numPr>
      </w:pPr>
      <w:proofErr w:type="spellStart"/>
      <w:r>
        <w:t>Erasmus</w:t>
      </w:r>
      <w:proofErr w:type="spellEnd"/>
      <w:r>
        <w:t xml:space="preserve">+ akreditacija školi omogućava dugoročno sudjelovanje u </w:t>
      </w:r>
      <w:proofErr w:type="spellStart"/>
      <w:r>
        <w:t>Erasmus</w:t>
      </w:r>
      <w:proofErr w:type="spellEnd"/>
      <w:r>
        <w:t>+ programu, projekte mobilnosti učenika i učitelja bez ponavlja</w:t>
      </w:r>
      <w:r>
        <w:t>nja godišnjih prijava</w:t>
      </w:r>
    </w:p>
    <w:p w:rsidR="0038099F" w:rsidRDefault="0019532F">
      <w:r>
        <w:t xml:space="preserve">Proces stjecanja akreditacije uključuje ocjenu strateškog plana organizacije, u kojem se opisuje kako će mobilnosti doprinijeti postizanju njezinih ciljeva, te kako će organizacija osigurati kvalitetu, </w:t>
      </w:r>
      <w:proofErr w:type="spellStart"/>
      <w:r>
        <w:t>uključivost</w:t>
      </w:r>
      <w:proofErr w:type="spellEnd"/>
      <w:r>
        <w:t xml:space="preserve"> i upravljanje projek</w:t>
      </w:r>
      <w:r>
        <w:t xml:space="preserve">tima. Nakon dobivanja akreditacije, organizacije imaju stabilniji i predvidljiviji pristup financiranju te mogu bolje planirati i razvijati svoje aktivnosti u okviru </w:t>
      </w:r>
      <w:proofErr w:type="spellStart"/>
      <w:r>
        <w:t>Erasmus</w:t>
      </w:r>
      <w:proofErr w:type="spellEnd"/>
      <w:r>
        <w:t>+ programa.</w:t>
      </w:r>
    </w:p>
    <w:p w:rsidR="0038099F" w:rsidRDefault="0019532F">
      <w:r>
        <w:t>Ciljevi su : uspostaviti model za cjelovito i sustavno poučavanje i uče</w:t>
      </w:r>
      <w:r>
        <w:t xml:space="preserve">nje o klimatskim promjenama i potporu održivom razvoju, cjelovit razvoj digitalne inteligencije u obrazovanju na principu otvorenosti, pravednosti i </w:t>
      </w:r>
      <w:proofErr w:type="spellStart"/>
      <w:r>
        <w:t>inkluzivnosti</w:t>
      </w:r>
      <w:proofErr w:type="spellEnd"/>
      <w:r>
        <w:t xml:space="preserve"> te kontinuirano razvijati i jačati psihološku otpornosti i osnaživati mentalno zdravlje učeni</w:t>
      </w:r>
      <w:r>
        <w:t>ka, smanjiti stigmatizaciju vezanu uz mentalne poteškoće.</w:t>
      </w:r>
    </w:p>
    <w:p w:rsidR="0038099F" w:rsidRDefault="0019532F">
      <w:r>
        <w:t xml:space="preserve">Nakon sklapanja Ugovora u kojem su naznačena sredstva koja će biti na raspolaganju, koordinator </w:t>
      </w:r>
      <w:proofErr w:type="spellStart"/>
      <w:r>
        <w:t>Erasmus</w:t>
      </w:r>
      <w:proofErr w:type="spellEnd"/>
      <w:r>
        <w:t xml:space="preserve"> projekta nema obvezu naknadno pravdati troškove već pisanim dokazom i dobivenim certifikatom p</w:t>
      </w:r>
      <w:r>
        <w:t>ojedinog projekta i mobilnosti odrađuje dogovorene obveze unutar Ugovora.</w:t>
      </w:r>
    </w:p>
    <w:p w:rsidR="0038099F" w:rsidRDefault="0019532F">
      <w:pPr>
        <w:pStyle w:val="Odlomakpopisa"/>
        <w:numPr>
          <w:ilvl w:val="0"/>
          <w:numId w:val="2"/>
        </w:numPr>
      </w:pPr>
      <w:proofErr w:type="spellStart"/>
      <w:r>
        <w:t>Erasmus</w:t>
      </w:r>
      <w:proofErr w:type="spellEnd"/>
      <w:r>
        <w:t xml:space="preserve"> + partnerstva (KA2)</w:t>
      </w:r>
    </w:p>
    <w:p w:rsidR="0038099F" w:rsidRDefault="0019532F">
      <w:proofErr w:type="spellStart"/>
      <w:r>
        <w:t>Erasmus</w:t>
      </w:r>
      <w:proofErr w:type="spellEnd"/>
      <w:r>
        <w:t xml:space="preserve">+ strateška partnerstva (KA2) su ključna akcija u okviru programa </w:t>
      </w:r>
      <w:proofErr w:type="spellStart"/>
      <w:r>
        <w:t>Erasmus</w:t>
      </w:r>
      <w:proofErr w:type="spellEnd"/>
      <w:r>
        <w:t>+ koja omogućava različitim organizacijama da surađuju na razvoju, prijeno</w:t>
      </w:r>
      <w:r>
        <w:t xml:space="preserve">su i implementaciji inovativnih praksi i zajedničkih inicijativa u području obrazovanja, osposobljavanja i mladih.  I. osnovna škola Čakovec provodi ovu vrstu aktivnosti i razvija međunarodnu suradnju od 2014. godine i u svom </w:t>
      </w:r>
      <w:proofErr w:type="spellStart"/>
      <w:r>
        <w:t>portfoliju</w:t>
      </w:r>
      <w:proofErr w:type="spellEnd"/>
      <w:r>
        <w:t xml:space="preserve"> ima više od dvadese</w:t>
      </w:r>
      <w:r>
        <w:t>t uspješno realiziranih projekata.</w:t>
      </w:r>
    </w:p>
    <w:p w:rsidR="0038099F" w:rsidRDefault="0019532F">
      <w:r>
        <w:t xml:space="preserve">Sudjelovanje u </w:t>
      </w:r>
      <w:proofErr w:type="spellStart"/>
      <w:r>
        <w:t>Erasmus</w:t>
      </w:r>
      <w:proofErr w:type="spellEnd"/>
      <w:r>
        <w:t>+ strateškim partnerstvima našoj školi, učenicima, učiteljima i stručnim suradnicima donosi višestruke koristi, te doprinosi unapređenju kvalitete obrazovanja i jačanju međunarodne suradnje.</w:t>
      </w:r>
    </w:p>
    <w:p w:rsidR="0038099F" w:rsidRDefault="0019532F">
      <w:r>
        <w:lastRenderedPageBreak/>
        <w:t xml:space="preserve">Ciljevi su: međunarodna suradnja i umrežavanje, razmjena dobrih pedagoških praksi, profesionalni razvoj nastavnika, inovacije u obrazovanju, povećanje motivacije i angažmana učenika, kulturna razmjena i </w:t>
      </w:r>
      <w:proofErr w:type="spellStart"/>
      <w:r>
        <w:t>interkulturalna</w:t>
      </w:r>
      <w:proofErr w:type="spellEnd"/>
      <w:r>
        <w:t xml:space="preserve"> kompetencija</w:t>
      </w:r>
    </w:p>
    <w:p w:rsidR="0038099F" w:rsidRDefault="0019532F">
      <w:r>
        <w:rPr>
          <w:b/>
        </w:rPr>
        <w:t>Financijska podrška</w:t>
      </w:r>
    </w:p>
    <w:p w:rsidR="0038099F" w:rsidRDefault="0019532F">
      <w:proofErr w:type="spellStart"/>
      <w:r>
        <w:t>Eras</w:t>
      </w:r>
      <w:r>
        <w:t>mus</w:t>
      </w:r>
      <w:proofErr w:type="spellEnd"/>
      <w:r>
        <w:t>+ program osigurava financijsku podršku za provedbu projekata, što omogućava školi da provodi aktivnosti koje možda inače ne bi bile moguće zbog financijskih ograničenja.</w:t>
      </w:r>
    </w:p>
    <w:p w:rsidR="0038099F" w:rsidRDefault="0019532F">
      <w:r>
        <w:t>Nakon sklapanja Ugovora u kojem su naznačena sredstva koja će biti na raspolaganju</w:t>
      </w:r>
      <w:r>
        <w:t xml:space="preserve">, koordinator </w:t>
      </w:r>
      <w:proofErr w:type="spellStart"/>
      <w:r>
        <w:t>Erasmus</w:t>
      </w:r>
      <w:proofErr w:type="spellEnd"/>
      <w:r>
        <w:t xml:space="preserve"> projekta nema obvezu naknadno pravdati troškove već pisanim dokazom i dobivenim certifikatom pojedinog projekta i mobilnosti odrađuje dogovorene obveze unutar Ugovora.</w:t>
      </w:r>
    </w:p>
    <w:p w:rsidR="0038099F" w:rsidRDefault="0038099F"/>
    <w:sectPr w:rsidR="003809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814E4"/>
    <w:multiLevelType w:val="hybridMultilevel"/>
    <w:tmpl w:val="2C648096"/>
    <w:name w:val="disc"/>
    <w:lvl w:ilvl="0" w:tplc="832C99E6">
      <w:start w:val="1"/>
      <w:numFmt w:val="bullet"/>
      <w:lvlText w:val="•"/>
      <w:lvlJc w:val="left"/>
      <w:pPr>
        <w:ind w:left="720" w:hanging="360"/>
      </w:pPr>
    </w:lvl>
    <w:lvl w:ilvl="1" w:tplc="7E70015E">
      <w:start w:val="1"/>
      <w:numFmt w:val="bullet"/>
      <w:lvlText w:val="•"/>
      <w:lvlJc w:val="left"/>
      <w:pPr>
        <w:ind w:left="1440" w:hanging="360"/>
      </w:pPr>
    </w:lvl>
    <w:lvl w:ilvl="2" w:tplc="E74C1296">
      <w:start w:val="1"/>
      <w:numFmt w:val="bullet"/>
      <w:lvlText w:val="•"/>
      <w:lvlJc w:val="left"/>
      <w:pPr>
        <w:ind w:left="2160" w:hanging="360"/>
      </w:pPr>
    </w:lvl>
    <w:lvl w:ilvl="3" w:tplc="4948D230">
      <w:start w:val="1"/>
      <w:numFmt w:val="bullet"/>
      <w:lvlText w:val="•"/>
      <w:lvlJc w:val="left"/>
      <w:pPr>
        <w:ind w:left="2880" w:hanging="360"/>
      </w:pPr>
    </w:lvl>
    <w:lvl w:ilvl="4" w:tplc="FF18EDE2">
      <w:start w:val="1"/>
      <w:numFmt w:val="bullet"/>
      <w:lvlText w:val="•"/>
      <w:lvlJc w:val="left"/>
      <w:pPr>
        <w:ind w:left="3600" w:hanging="360"/>
      </w:pPr>
    </w:lvl>
    <w:lvl w:ilvl="5" w:tplc="A934D0D4">
      <w:start w:val="1"/>
      <w:numFmt w:val="bullet"/>
      <w:lvlText w:val="•"/>
      <w:lvlJc w:val="left"/>
      <w:pPr>
        <w:ind w:left="4320" w:hanging="360"/>
      </w:pPr>
    </w:lvl>
    <w:lvl w:ilvl="6" w:tplc="0E762E8A">
      <w:start w:val="1"/>
      <w:numFmt w:val="bullet"/>
      <w:lvlText w:val="•"/>
      <w:lvlJc w:val="left"/>
      <w:pPr>
        <w:ind w:left="5040" w:hanging="360"/>
      </w:pPr>
    </w:lvl>
    <w:lvl w:ilvl="7" w:tplc="CBAC04E6">
      <w:start w:val="1"/>
      <w:numFmt w:val="bullet"/>
      <w:lvlText w:val="•"/>
      <w:lvlJc w:val="left"/>
      <w:pPr>
        <w:ind w:left="5760" w:hanging="360"/>
      </w:pPr>
    </w:lvl>
    <w:lvl w:ilvl="8" w:tplc="3416AF98">
      <w:start w:val="1"/>
      <w:numFmt w:val="bullet"/>
      <w:lvlText w:val="•"/>
      <w:lvlJc w:val="left"/>
      <w:pPr>
        <w:ind w:left="6480" w:hanging="360"/>
      </w:pPr>
    </w:lvl>
  </w:abstractNum>
  <w:num w:numId="1">
    <w:abstractNumId w:val="0"/>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8099F"/>
    <w:rsid w:val="0019532F"/>
    <w:rsid w:val="003809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F2B0E3-9068-4BDC-9440-0D464304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 w:type="paragraph" w:styleId="Tekstbalonia">
    <w:name w:val="Balloon Text"/>
    <w:basedOn w:val="Normal"/>
    <w:link w:val="TekstbaloniaChar"/>
    <w:uiPriority w:val="99"/>
    <w:semiHidden/>
    <w:unhideWhenUsed/>
    <w:rsid w:val="0019532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953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2780</Words>
  <Characters>15849</Characters>
  <Application>Microsoft Office Word</Application>
  <DocSecurity>0</DocSecurity>
  <Lines>132</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3</cp:revision>
  <cp:lastPrinted>2026-02-02T13:18:00Z</cp:lastPrinted>
  <dcterms:created xsi:type="dcterms:W3CDTF">2026-02-02T13:18:00Z</dcterms:created>
  <dcterms:modified xsi:type="dcterms:W3CDTF">2026-02-02T13:21:00Z</dcterms:modified>
</cp:coreProperties>
</file>